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DE190" w14:textId="77777777" w:rsidR="00210F97" w:rsidRDefault="00210F97" w:rsidP="00AA7ED4">
      <w:pPr>
        <w:jc w:val="center"/>
        <w:rPr>
          <w:rFonts w:ascii="Arial" w:hAnsi="Arial" w:cs="Arial"/>
          <w:b/>
          <w:bCs/>
          <w:u w:val="single"/>
        </w:rPr>
      </w:pPr>
    </w:p>
    <w:p w14:paraId="15C241DD" w14:textId="108073F9" w:rsidR="00326DEC" w:rsidRDefault="00326DEC" w:rsidP="00AA7ED4">
      <w:pPr>
        <w:jc w:val="center"/>
        <w:rPr>
          <w:rFonts w:ascii="Arial" w:hAnsi="Arial" w:cs="Arial"/>
          <w:b/>
          <w:bCs/>
          <w:u w:val="single"/>
        </w:rPr>
      </w:pPr>
      <w:r w:rsidRPr="00FC728F">
        <w:rPr>
          <w:rFonts w:ascii="Arial" w:hAnsi="Arial" w:cs="Arial"/>
          <w:b/>
          <w:bCs/>
          <w:u w:val="single"/>
        </w:rPr>
        <w:t>EAAL 2020: England Development Project</w:t>
      </w:r>
    </w:p>
    <w:p w14:paraId="68923F1A" w14:textId="77777777" w:rsidR="00255993" w:rsidRPr="00FC728F" w:rsidRDefault="00255993" w:rsidP="00AA7ED4">
      <w:pPr>
        <w:jc w:val="center"/>
        <w:rPr>
          <w:rFonts w:ascii="Arial" w:hAnsi="Arial" w:cs="Arial"/>
          <w:b/>
          <w:bCs/>
          <w:u w:val="single"/>
        </w:rPr>
      </w:pPr>
    </w:p>
    <w:p w14:paraId="39157914" w14:textId="7B70AD6A" w:rsidR="00AA7ED4" w:rsidRDefault="00AA7ED4" w:rsidP="00AA7ED4">
      <w:pPr>
        <w:jc w:val="center"/>
        <w:rPr>
          <w:rFonts w:ascii="Arial" w:hAnsi="Arial" w:cs="Arial"/>
          <w:b/>
          <w:bCs/>
        </w:rPr>
      </w:pPr>
      <w:r>
        <w:rPr>
          <w:rFonts w:ascii="Arial" w:hAnsi="Arial" w:cs="Arial"/>
          <w:b/>
          <w:bCs/>
        </w:rPr>
        <w:t xml:space="preserve">Review of approaches to </w:t>
      </w:r>
      <w:r w:rsidR="00A8258C">
        <w:rPr>
          <w:rFonts w:ascii="Arial" w:hAnsi="Arial" w:cs="Arial"/>
          <w:b/>
          <w:bCs/>
        </w:rPr>
        <w:t>c</w:t>
      </w:r>
      <w:r>
        <w:rPr>
          <w:rFonts w:ascii="Arial" w:hAnsi="Arial" w:cs="Arial"/>
          <w:b/>
          <w:bCs/>
        </w:rPr>
        <w:t xml:space="preserve">ommunity </w:t>
      </w:r>
      <w:r w:rsidR="00A8258C">
        <w:rPr>
          <w:rFonts w:ascii="Arial" w:hAnsi="Arial" w:cs="Arial"/>
          <w:b/>
          <w:bCs/>
        </w:rPr>
        <w:t>l</w:t>
      </w:r>
      <w:r>
        <w:rPr>
          <w:rFonts w:ascii="Arial" w:hAnsi="Arial" w:cs="Arial"/>
          <w:b/>
          <w:bCs/>
        </w:rPr>
        <w:t>earning in local planning for the devolved / delegated Adult Education Budget</w:t>
      </w:r>
    </w:p>
    <w:p w14:paraId="7D6FDA3D" w14:textId="1721C87A" w:rsidR="00AA7ED4" w:rsidRDefault="0086216A" w:rsidP="00AA7ED4">
      <w:pPr>
        <w:jc w:val="center"/>
        <w:rPr>
          <w:rFonts w:ascii="Arial" w:hAnsi="Arial" w:cs="Arial"/>
          <w:b/>
          <w:bCs/>
        </w:rPr>
      </w:pPr>
      <w:r>
        <w:rPr>
          <w:rFonts w:ascii="Arial" w:hAnsi="Arial" w:cs="Arial"/>
          <w:b/>
          <w:bCs/>
        </w:rPr>
        <w:t>Interim report</w:t>
      </w:r>
    </w:p>
    <w:p w14:paraId="4EADC3FE" w14:textId="77777777" w:rsidR="00210F97" w:rsidRPr="00AA7ED4" w:rsidRDefault="00210F97" w:rsidP="00210F97">
      <w:pPr>
        <w:rPr>
          <w:rFonts w:ascii="Arial" w:hAnsi="Arial" w:cs="Arial"/>
          <w:b/>
          <w:bCs/>
        </w:rPr>
      </w:pPr>
    </w:p>
    <w:p w14:paraId="30A74047" w14:textId="5B56194A" w:rsidR="0086216A" w:rsidRPr="00725492" w:rsidRDefault="0086216A" w:rsidP="00725492">
      <w:pPr>
        <w:spacing w:after="120" w:line="276" w:lineRule="auto"/>
        <w:rPr>
          <w:rFonts w:ascii="Arial" w:hAnsi="Arial" w:cs="Arial"/>
          <w:b/>
          <w:bCs/>
        </w:rPr>
      </w:pPr>
      <w:r w:rsidRPr="00725492">
        <w:rPr>
          <w:rFonts w:ascii="Arial" w:hAnsi="Arial" w:cs="Arial"/>
          <w:b/>
          <w:bCs/>
        </w:rPr>
        <w:t>Introduction</w:t>
      </w:r>
    </w:p>
    <w:p w14:paraId="775C468E" w14:textId="55CD142B" w:rsidR="002A4484" w:rsidRPr="00725492" w:rsidRDefault="0086216A" w:rsidP="00725492">
      <w:pPr>
        <w:spacing w:after="120" w:line="276" w:lineRule="auto"/>
        <w:rPr>
          <w:rFonts w:ascii="Arial" w:hAnsi="Arial" w:cs="Arial"/>
        </w:rPr>
      </w:pPr>
      <w:r w:rsidRPr="00725492">
        <w:rPr>
          <w:rFonts w:ascii="Arial" w:hAnsi="Arial" w:cs="Arial"/>
        </w:rPr>
        <w:t xml:space="preserve">This interim report summarises </w:t>
      </w:r>
      <w:r w:rsidR="002A4484" w:rsidRPr="00725492">
        <w:rPr>
          <w:rFonts w:ascii="Arial" w:hAnsi="Arial" w:cs="Arial"/>
        </w:rPr>
        <w:t xml:space="preserve">the </w:t>
      </w:r>
      <w:r w:rsidRPr="00725492">
        <w:rPr>
          <w:rFonts w:ascii="Arial" w:hAnsi="Arial" w:cs="Arial"/>
        </w:rPr>
        <w:t xml:space="preserve">findings of research to date into approaches to community learning in local planning for the devolved / delegated Adult Education Budget (AEB) in England.  It draws on evidence from the </w:t>
      </w:r>
      <w:r w:rsidR="002A4484" w:rsidRPr="00725492">
        <w:rPr>
          <w:rFonts w:ascii="Arial" w:hAnsi="Arial" w:cs="Arial"/>
        </w:rPr>
        <w:t>seven Mayoral Combined Authorities (MCAs) to which AEB funding has so far been devolved</w:t>
      </w:r>
      <w:r w:rsidRPr="00725492">
        <w:rPr>
          <w:rStyle w:val="FootnoteReference"/>
          <w:rFonts w:ascii="Arial" w:hAnsi="Arial" w:cs="Arial"/>
        </w:rPr>
        <w:footnoteReference w:id="1"/>
      </w:r>
      <w:r w:rsidR="002A4484" w:rsidRPr="00725492">
        <w:rPr>
          <w:rFonts w:ascii="Arial" w:hAnsi="Arial" w:cs="Arial"/>
        </w:rPr>
        <w:t xml:space="preserve"> and the Greater London Authority. </w:t>
      </w:r>
    </w:p>
    <w:p w14:paraId="10EA3DBA" w14:textId="0C47ADB9" w:rsidR="00680813" w:rsidRPr="00725492" w:rsidRDefault="002A4484" w:rsidP="00725492">
      <w:pPr>
        <w:spacing w:after="120" w:line="276" w:lineRule="auto"/>
        <w:rPr>
          <w:rFonts w:ascii="Arial" w:hAnsi="Arial" w:cs="Arial"/>
        </w:rPr>
      </w:pPr>
      <w:r w:rsidRPr="00725492">
        <w:rPr>
          <w:rFonts w:ascii="Arial" w:hAnsi="Arial" w:cs="Arial"/>
        </w:rPr>
        <w:t xml:space="preserve">The research </w:t>
      </w:r>
      <w:r w:rsidR="00E454A2" w:rsidRPr="00725492">
        <w:rPr>
          <w:rFonts w:ascii="Arial" w:hAnsi="Arial" w:cs="Arial"/>
        </w:rPr>
        <w:t xml:space="preserve">aims </w:t>
      </w:r>
      <w:r w:rsidRPr="00725492">
        <w:rPr>
          <w:rFonts w:ascii="Arial" w:hAnsi="Arial" w:cs="Arial"/>
        </w:rPr>
        <w:t xml:space="preserve">to shed light on </w:t>
      </w:r>
      <w:r w:rsidR="00FA1358" w:rsidRPr="00725492">
        <w:rPr>
          <w:rFonts w:ascii="Arial" w:hAnsi="Arial" w:cs="Arial"/>
        </w:rPr>
        <w:t xml:space="preserve">the </w:t>
      </w:r>
      <w:r w:rsidR="00680813" w:rsidRPr="00725492">
        <w:rPr>
          <w:rFonts w:ascii="Arial" w:hAnsi="Arial" w:cs="Arial"/>
        </w:rPr>
        <w:t xml:space="preserve">following research question: </w:t>
      </w:r>
    </w:p>
    <w:p w14:paraId="3C623E10" w14:textId="66CC768E" w:rsidR="00680813" w:rsidRPr="00725492" w:rsidRDefault="00680813" w:rsidP="00725492">
      <w:pPr>
        <w:spacing w:after="120" w:line="276" w:lineRule="auto"/>
        <w:jc w:val="center"/>
        <w:rPr>
          <w:rFonts w:ascii="Arial" w:hAnsi="Arial" w:cs="Arial"/>
          <w:i/>
          <w:iCs/>
        </w:rPr>
      </w:pPr>
      <w:r w:rsidRPr="00725492">
        <w:rPr>
          <w:rFonts w:ascii="Arial" w:hAnsi="Arial" w:cs="Arial"/>
          <w:i/>
          <w:iCs/>
        </w:rPr>
        <w:t>To what extent will community learning be better off under devolution?</w:t>
      </w:r>
    </w:p>
    <w:p w14:paraId="1114FFA8" w14:textId="1B7B14A0" w:rsidR="0086216A" w:rsidRDefault="00FA1358" w:rsidP="00725492">
      <w:pPr>
        <w:spacing w:after="120" w:line="276" w:lineRule="auto"/>
        <w:rPr>
          <w:rFonts w:ascii="Arial" w:hAnsi="Arial" w:cs="Arial"/>
        </w:rPr>
      </w:pPr>
      <w:r w:rsidRPr="00725492">
        <w:rPr>
          <w:rFonts w:ascii="Arial" w:hAnsi="Arial" w:cs="Arial"/>
        </w:rPr>
        <w:t xml:space="preserve">Devolution of AEB began in the 2019/20 academic year </w:t>
      </w:r>
      <w:r w:rsidR="00872098" w:rsidRPr="00725492">
        <w:rPr>
          <w:rFonts w:ascii="Arial" w:hAnsi="Arial" w:cs="Arial"/>
        </w:rPr>
        <w:t>so is</w:t>
      </w:r>
      <w:r w:rsidRPr="00725492">
        <w:rPr>
          <w:rFonts w:ascii="Arial" w:hAnsi="Arial" w:cs="Arial"/>
        </w:rPr>
        <w:t xml:space="preserve"> at a relatively early stage.</w:t>
      </w:r>
      <w:r w:rsidR="00872098" w:rsidRPr="00725492">
        <w:rPr>
          <w:rFonts w:ascii="Arial" w:hAnsi="Arial" w:cs="Arial"/>
        </w:rPr>
        <w:t xml:space="preserve">  This is an opportune time, therefore, to investigate </w:t>
      </w:r>
      <w:r w:rsidR="00680813" w:rsidRPr="00725492">
        <w:rPr>
          <w:rFonts w:ascii="Arial" w:hAnsi="Arial" w:cs="Arial"/>
        </w:rPr>
        <w:t xml:space="preserve">what initial indications suggest about the risks and opportunities which skills devolution presents for community learning.  </w:t>
      </w:r>
    </w:p>
    <w:p w14:paraId="5BD2F366" w14:textId="46D06F83" w:rsidR="00210F97" w:rsidRDefault="00210F97" w:rsidP="00725492">
      <w:pPr>
        <w:spacing w:after="120" w:line="276" w:lineRule="auto"/>
        <w:rPr>
          <w:rFonts w:ascii="Arial" w:hAnsi="Arial" w:cs="Arial"/>
        </w:rPr>
      </w:pPr>
    </w:p>
    <w:p w14:paraId="4552DE2A" w14:textId="77777777" w:rsidR="00210F97" w:rsidRPr="00725492" w:rsidRDefault="00210F97" w:rsidP="00725492">
      <w:pPr>
        <w:spacing w:after="120" w:line="276" w:lineRule="auto"/>
        <w:rPr>
          <w:rFonts w:ascii="Arial" w:hAnsi="Arial" w:cs="Arial"/>
        </w:rPr>
      </w:pPr>
    </w:p>
    <w:p w14:paraId="73F12FE6" w14:textId="6D484190" w:rsidR="0086216A" w:rsidRPr="00725492" w:rsidRDefault="0086216A" w:rsidP="00725492">
      <w:pPr>
        <w:spacing w:after="120" w:line="276" w:lineRule="auto"/>
        <w:rPr>
          <w:rFonts w:ascii="Arial" w:hAnsi="Arial" w:cs="Arial"/>
          <w:b/>
          <w:bCs/>
        </w:rPr>
      </w:pPr>
      <w:r w:rsidRPr="00725492">
        <w:rPr>
          <w:rFonts w:ascii="Arial" w:hAnsi="Arial" w:cs="Arial"/>
          <w:b/>
          <w:bCs/>
        </w:rPr>
        <w:t>Approach</w:t>
      </w:r>
    </w:p>
    <w:p w14:paraId="40101B81" w14:textId="2C6C13C6" w:rsidR="00680813" w:rsidRPr="00725492" w:rsidRDefault="00680813" w:rsidP="00725492">
      <w:pPr>
        <w:spacing w:after="120" w:line="276" w:lineRule="auto"/>
        <w:rPr>
          <w:rFonts w:ascii="Arial" w:hAnsi="Arial" w:cs="Arial"/>
        </w:rPr>
      </w:pPr>
      <w:r w:rsidRPr="00725492">
        <w:rPr>
          <w:rFonts w:ascii="Arial" w:hAnsi="Arial" w:cs="Arial"/>
        </w:rPr>
        <w:t>The research consists of two strands.</w:t>
      </w:r>
    </w:p>
    <w:p w14:paraId="69C2EAD8" w14:textId="5999B3BA" w:rsidR="00326DEC" w:rsidRPr="00725492" w:rsidRDefault="00680813" w:rsidP="00725492">
      <w:pPr>
        <w:pStyle w:val="ListParagraph"/>
        <w:numPr>
          <w:ilvl w:val="0"/>
          <w:numId w:val="16"/>
        </w:numPr>
        <w:spacing w:after="120" w:line="276" w:lineRule="auto"/>
        <w:contextualSpacing w:val="0"/>
        <w:rPr>
          <w:rFonts w:ascii="Arial" w:hAnsi="Arial" w:cs="Arial"/>
        </w:rPr>
      </w:pPr>
      <w:r w:rsidRPr="00725492">
        <w:rPr>
          <w:rFonts w:ascii="Arial" w:hAnsi="Arial" w:cs="Arial"/>
        </w:rPr>
        <w:t xml:space="preserve">Desk review of the following </w:t>
      </w:r>
      <w:r w:rsidR="00326DEC" w:rsidRPr="00725492">
        <w:rPr>
          <w:rFonts w:ascii="Arial" w:hAnsi="Arial" w:cs="Arial"/>
        </w:rPr>
        <w:t xml:space="preserve">current documents / materials for </w:t>
      </w:r>
      <w:r w:rsidR="00AA7ED4" w:rsidRPr="00725492">
        <w:rPr>
          <w:rFonts w:ascii="Arial" w:hAnsi="Arial" w:cs="Arial"/>
        </w:rPr>
        <w:t xml:space="preserve">Greater London and </w:t>
      </w:r>
      <w:r w:rsidR="00326DEC" w:rsidRPr="00725492">
        <w:rPr>
          <w:rFonts w:ascii="Arial" w:hAnsi="Arial" w:cs="Arial"/>
        </w:rPr>
        <w:t xml:space="preserve">each devolved </w:t>
      </w:r>
      <w:r w:rsidR="00AA7ED4" w:rsidRPr="00725492">
        <w:rPr>
          <w:rFonts w:ascii="Arial" w:hAnsi="Arial" w:cs="Arial"/>
        </w:rPr>
        <w:t xml:space="preserve">Mayoral Combined Authority </w:t>
      </w:r>
      <w:r w:rsidR="00326DEC" w:rsidRPr="00725492">
        <w:rPr>
          <w:rFonts w:ascii="Arial" w:hAnsi="Arial" w:cs="Arial"/>
        </w:rPr>
        <w:t>area:</w:t>
      </w:r>
    </w:p>
    <w:p w14:paraId="47C1CBB3" w14:textId="67CD044D" w:rsidR="00326DEC" w:rsidRPr="00725492" w:rsidRDefault="00326DEC" w:rsidP="00725492">
      <w:pPr>
        <w:pStyle w:val="ListParagraph"/>
        <w:numPr>
          <w:ilvl w:val="0"/>
          <w:numId w:val="2"/>
        </w:numPr>
        <w:spacing w:after="120" w:line="276" w:lineRule="auto"/>
        <w:ind w:left="1080"/>
        <w:contextualSpacing w:val="0"/>
        <w:rPr>
          <w:rFonts w:ascii="Arial" w:hAnsi="Arial" w:cs="Arial"/>
        </w:rPr>
      </w:pPr>
      <w:r w:rsidRPr="00725492">
        <w:rPr>
          <w:rFonts w:ascii="Arial" w:hAnsi="Arial" w:cs="Arial"/>
        </w:rPr>
        <w:t>Local Industrial Strategy</w:t>
      </w:r>
    </w:p>
    <w:p w14:paraId="13E0930B" w14:textId="4B74D585" w:rsidR="00326DEC" w:rsidRPr="00725492" w:rsidRDefault="00326DEC" w:rsidP="00725492">
      <w:pPr>
        <w:pStyle w:val="ListParagraph"/>
        <w:numPr>
          <w:ilvl w:val="0"/>
          <w:numId w:val="2"/>
        </w:numPr>
        <w:spacing w:after="120" w:line="276" w:lineRule="auto"/>
        <w:ind w:left="1080"/>
        <w:contextualSpacing w:val="0"/>
        <w:rPr>
          <w:rFonts w:ascii="Arial" w:hAnsi="Arial" w:cs="Arial"/>
        </w:rPr>
      </w:pPr>
      <w:r w:rsidRPr="00725492">
        <w:rPr>
          <w:rFonts w:ascii="Arial" w:hAnsi="Arial" w:cs="Arial"/>
        </w:rPr>
        <w:t xml:space="preserve">Regional </w:t>
      </w:r>
      <w:r w:rsidR="00AA7ED4" w:rsidRPr="00725492">
        <w:rPr>
          <w:rFonts w:ascii="Arial" w:hAnsi="Arial" w:cs="Arial"/>
        </w:rPr>
        <w:t xml:space="preserve">Strategic </w:t>
      </w:r>
      <w:r w:rsidRPr="00725492">
        <w:rPr>
          <w:rFonts w:ascii="Arial" w:hAnsi="Arial" w:cs="Arial"/>
        </w:rPr>
        <w:t>Skills Plan (exact title varies)</w:t>
      </w:r>
    </w:p>
    <w:p w14:paraId="03FBE44B" w14:textId="5972B9B1" w:rsidR="00ED1EE3" w:rsidRPr="00725492" w:rsidRDefault="00326DEC" w:rsidP="00725492">
      <w:pPr>
        <w:pStyle w:val="ListParagraph"/>
        <w:numPr>
          <w:ilvl w:val="0"/>
          <w:numId w:val="2"/>
        </w:numPr>
        <w:spacing w:after="120" w:line="276" w:lineRule="auto"/>
        <w:ind w:left="1080"/>
        <w:contextualSpacing w:val="0"/>
        <w:rPr>
          <w:rFonts w:ascii="Arial" w:hAnsi="Arial" w:cs="Arial"/>
        </w:rPr>
      </w:pPr>
      <w:r w:rsidRPr="00725492">
        <w:rPr>
          <w:rFonts w:ascii="Arial" w:hAnsi="Arial" w:cs="Arial"/>
        </w:rPr>
        <w:t xml:space="preserve">Websites, papers and communications </w:t>
      </w:r>
      <w:r w:rsidR="00AA7ED4" w:rsidRPr="00725492">
        <w:rPr>
          <w:rFonts w:ascii="Arial" w:hAnsi="Arial" w:cs="Arial"/>
        </w:rPr>
        <w:t xml:space="preserve">in the public domain </w:t>
      </w:r>
      <w:r w:rsidRPr="00725492">
        <w:rPr>
          <w:rFonts w:ascii="Arial" w:hAnsi="Arial" w:cs="Arial"/>
        </w:rPr>
        <w:t xml:space="preserve">relating to </w:t>
      </w:r>
      <w:r w:rsidR="00087CBA" w:rsidRPr="00725492">
        <w:rPr>
          <w:rFonts w:ascii="Arial" w:hAnsi="Arial" w:cs="Arial"/>
        </w:rPr>
        <w:t xml:space="preserve">devolved </w:t>
      </w:r>
      <w:r w:rsidRPr="00725492">
        <w:rPr>
          <w:rFonts w:ascii="Arial" w:hAnsi="Arial" w:cs="Arial"/>
        </w:rPr>
        <w:t>AEB funding, planning and delivery.</w:t>
      </w:r>
    </w:p>
    <w:p w14:paraId="45E670A3" w14:textId="77777777" w:rsidR="00ED1EE3" w:rsidRPr="00725492" w:rsidRDefault="00ED1EE3" w:rsidP="00210F97">
      <w:pPr>
        <w:spacing w:after="120" w:line="276" w:lineRule="auto"/>
        <w:rPr>
          <w:rFonts w:ascii="Arial" w:hAnsi="Arial" w:cs="Arial"/>
        </w:rPr>
      </w:pPr>
      <w:r w:rsidRPr="00725492">
        <w:rPr>
          <w:rFonts w:ascii="Arial" w:hAnsi="Arial" w:cs="Arial"/>
        </w:rPr>
        <w:t>The review was undertaken using the following themes:</w:t>
      </w:r>
    </w:p>
    <w:p w14:paraId="347BFA21" w14:textId="77777777" w:rsidR="00ED1EE3" w:rsidRPr="00725492" w:rsidRDefault="00ED1EE3" w:rsidP="00725492">
      <w:pPr>
        <w:pStyle w:val="ListParagraph"/>
        <w:numPr>
          <w:ilvl w:val="0"/>
          <w:numId w:val="18"/>
        </w:numPr>
        <w:spacing w:after="120" w:line="276" w:lineRule="auto"/>
        <w:ind w:left="990"/>
        <w:contextualSpacing w:val="0"/>
        <w:rPr>
          <w:rFonts w:ascii="Arial" w:hAnsi="Arial" w:cs="Arial"/>
        </w:rPr>
      </w:pPr>
      <w:r w:rsidRPr="00725492">
        <w:rPr>
          <w:rFonts w:ascii="Arial" w:hAnsi="Arial" w:cs="Arial"/>
        </w:rPr>
        <w:t>The role and contribution of skills devolution in the delivery of local strategic priorities.</w:t>
      </w:r>
    </w:p>
    <w:p w14:paraId="13378075" w14:textId="77777777" w:rsidR="00ED1EE3" w:rsidRPr="00725492" w:rsidRDefault="00ED1EE3" w:rsidP="00725492">
      <w:pPr>
        <w:numPr>
          <w:ilvl w:val="0"/>
          <w:numId w:val="18"/>
        </w:numPr>
        <w:spacing w:after="120" w:line="276" w:lineRule="auto"/>
        <w:ind w:left="990"/>
        <w:rPr>
          <w:rFonts w:ascii="Arial" w:hAnsi="Arial" w:cs="Arial"/>
        </w:rPr>
      </w:pPr>
      <w:r w:rsidRPr="00725492">
        <w:rPr>
          <w:rFonts w:ascii="Arial" w:hAnsi="Arial" w:cs="Arial"/>
        </w:rPr>
        <w:lastRenderedPageBreak/>
        <w:t xml:space="preserve">Local approaches to community learning.  </w:t>
      </w:r>
    </w:p>
    <w:p w14:paraId="5347D262" w14:textId="77777777" w:rsidR="00ED1EE3" w:rsidRPr="00725492" w:rsidRDefault="00ED1EE3" w:rsidP="00725492">
      <w:pPr>
        <w:numPr>
          <w:ilvl w:val="0"/>
          <w:numId w:val="18"/>
        </w:numPr>
        <w:spacing w:after="120" w:line="276" w:lineRule="auto"/>
        <w:ind w:left="990"/>
        <w:rPr>
          <w:rFonts w:ascii="Arial" w:hAnsi="Arial" w:cs="Arial"/>
        </w:rPr>
      </w:pPr>
      <w:r w:rsidRPr="00725492">
        <w:rPr>
          <w:rFonts w:ascii="Arial" w:hAnsi="Arial" w:cs="Arial"/>
        </w:rPr>
        <w:t xml:space="preserve">Evaluation of AEB outcomes and impact.  </w:t>
      </w:r>
    </w:p>
    <w:p w14:paraId="169612B9" w14:textId="598A9CE1" w:rsidR="00ED1EE3" w:rsidRPr="00725492" w:rsidRDefault="00ED1EE3" w:rsidP="00725492">
      <w:pPr>
        <w:pStyle w:val="ListParagraph"/>
        <w:numPr>
          <w:ilvl w:val="0"/>
          <w:numId w:val="16"/>
        </w:numPr>
        <w:spacing w:after="120" w:line="276" w:lineRule="auto"/>
        <w:contextualSpacing w:val="0"/>
        <w:rPr>
          <w:rFonts w:ascii="Arial" w:hAnsi="Arial" w:cs="Arial"/>
        </w:rPr>
      </w:pPr>
      <w:r w:rsidRPr="00725492">
        <w:rPr>
          <w:rFonts w:ascii="Arial" w:hAnsi="Arial" w:cs="Arial"/>
        </w:rPr>
        <w:t xml:space="preserve">Stakeholder engagement </w:t>
      </w:r>
      <w:r w:rsidR="0029597E" w:rsidRPr="00725492">
        <w:rPr>
          <w:rFonts w:ascii="Arial" w:hAnsi="Arial" w:cs="Arial"/>
        </w:rPr>
        <w:t xml:space="preserve">via the EAAL England Impact Forum, to obtain feedback on the emerging findings from the desk review and develop the analysis in light of members’ knowledge, experiences and insights.  Initial findings were presented at the first Impact Forum and </w:t>
      </w:r>
      <w:r w:rsidR="00E454A2" w:rsidRPr="00725492">
        <w:rPr>
          <w:rFonts w:ascii="Arial" w:hAnsi="Arial" w:cs="Arial"/>
        </w:rPr>
        <w:t>interested members were invited to join a working group to explore the evidence in more depth.  T</w:t>
      </w:r>
      <w:r w:rsidR="0029597E" w:rsidRPr="00725492">
        <w:rPr>
          <w:rFonts w:ascii="Arial" w:hAnsi="Arial" w:cs="Arial"/>
        </w:rPr>
        <w:t xml:space="preserve">wo </w:t>
      </w:r>
      <w:r w:rsidR="00E454A2" w:rsidRPr="00725492">
        <w:rPr>
          <w:rFonts w:ascii="Arial" w:hAnsi="Arial" w:cs="Arial"/>
        </w:rPr>
        <w:t>online workshops were held with work</w:t>
      </w:r>
      <w:r w:rsidR="0029597E" w:rsidRPr="00725492">
        <w:rPr>
          <w:rFonts w:ascii="Arial" w:hAnsi="Arial" w:cs="Arial"/>
        </w:rPr>
        <w:t xml:space="preserve">ing group </w:t>
      </w:r>
      <w:r w:rsidR="00E454A2" w:rsidRPr="00725492">
        <w:rPr>
          <w:rFonts w:ascii="Arial" w:hAnsi="Arial" w:cs="Arial"/>
        </w:rPr>
        <w:t xml:space="preserve">members </w:t>
      </w:r>
      <w:r w:rsidR="0029597E" w:rsidRPr="00725492">
        <w:rPr>
          <w:rFonts w:ascii="Arial" w:hAnsi="Arial" w:cs="Arial"/>
        </w:rPr>
        <w:t>from devolution and non-devolution areas</w:t>
      </w:r>
      <w:r w:rsidR="00BC63BA" w:rsidRPr="00725492">
        <w:rPr>
          <w:rFonts w:ascii="Arial" w:hAnsi="Arial" w:cs="Arial"/>
        </w:rPr>
        <w:t xml:space="preserve">.  </w:t>
      </w:r>
    </w:p>
    <w:p w14:paraId="00255261" w14:textId="4D8BC3DA" w:rsidR="00BC63BA" w:rsidRDefault="00BC63BA" w:rsidP="00725492">
      <w:pPr>
        <w:pStyle w:val="ListParagraph"/>
        <w:spacing w:after="120" w:line="276" w:lineRule="auto"/>
        <w:ind w:left="0"/>
        <w:contextualSpacing w:val="0"/>
        <w:rPr>
          <w:rFonts w:ascii="Arial" w:hAnsi="Arial" w:cs="Arial"/>
        </w:rPr>
      </w:pPr>
      <w:r w:rsidRPr="00725492">
        <w:rPr>
          <w:rFonts w:ascii="Arial" w:hAnsi="Arial" w:cs="Arial"/>
        </w:rPr>
        <w:t xml:space="preserve">This report includes key findings </w:t>
      </w:r>
      <w:r w:rsidR="00E454A2" w:rsidRPr="00725492">
        <w:rPr>
          <w:rFonts w:ascii="Arial" w:hAnsi="Arial" w:cs="Arial"/>
        </w:rPr>
        <w:t xml:space="preserve">from the desk review and workshops, arranged </w:t>
      </w:r>
      <w:r w:rsidRPr="00725492">
        <w:rPr>
          <w:rFonts w:ascii="Arial" w:hAnsi="Arial" w:cs="Arial"/>
        </w:rPr>
        <w:t>under each of the three themes</w:t>
      </w:r>
      <w:r w:rsidR="00E454A2" w:rsidRPr="00725492">
        <w:rPr>
          <w:rFonts w:ascii="Arial" w:hAnsi="Arial" w:cs="Arial"/>
        </w:rPr>
        <w:t>,</w:t>
      </w:r>
      <w:r w:rsidRPr="00725492">
        <w:rPr>
          <w:rFonts w:ascii="Arial" w:hAnsi="Arial" w:cs="Arial"/>
        </w:rPr>
        <w:t xml:space="preserve"> together with </w:t>
      </w:r>
      <w:r w:rsidR="00E454A2" w:rsidRPr="00725492">
        <w:rPr>
          <w:rFonts w:ascii="Arial" w:hAnsi="Arial" w:cs="Arial"/>
        </w:rPr>
        <w:t xml:space="preserve">a summary of the desk review evidence for each devolution area (annex).  </w:t>
      </w:r>
    </w:p>
    <w:p w14:paraId="58CF1590" w14:textId="77777777" w:rsidR="00210F97" w:rsidRPr="00725492" w:rsidRDefault="00210F97" w:rsidP="00725492">
      <w:pPr>
        <w:pStyle w:val="ListParagraph"/>
        <w:spacing w:after="120" w:line="276" w:lineRule="auto"/>
        <w:ind w:left="0"/>
        <w:contextualSpacing w:val="0"/>
        <w:rPr>
          <w:rFonts w:ascii="Arial" w:hAnsi="Arial" w:cs="Arial"/>
        </w:rPr>
      </w:pPr>
    </w:p>
    <w:p w14:paraId="65B95409" w14:textId="29B457C1" w:rsidR="00326DEC" w:rsidRPr="00725492" w:rsidRDefault="00BC63BA" w:rsidP="00725492">
      <w:pPr>
        <w:spacing w:after="120" w:line="276" w:lineRule="auto"/>
        <w:rPr>
          <w:rFonts w:ascii="Arial" w:hAnsi="Arial" w:cs="Arial"/>
          <w:b/>
          <w:bCs/>
        </w:rPr>
      </w:pPr>
      <w:r w:rsidRPr="00725492">
        <w:rPr>
          <w:rFonts w:ascii="Arial" w:hAnsi="Arial" w:cs="Arial"/>
          <w:b/>
          <w:bCs/>
        </w:rPr>
        <w:t>Summary of key findings</w:t>
      </w:r>
    </w:p>
    <w:p w14:paraId="50C2F332" w14:textId="77777777" w:rsidR="006020F6" w:rsidRPr="006020F6" w:rsidRDefault="006020F6" w:rsidP="00725492">
      <w:pPr>
        <w:numPr>
          <w:ilvl w:val="0"/>
          <w:numId w:val="19"/>
        </w:numPr>
        <w:spacing w:after="120" w:line="276" w:lineRule="auto"/>
        <w:ind w:left="360"/>
        <w:rPr>
          <w:rFonts w:ascii="Arial" w:eastAsia="Calibri" w:hAnsi="Arial" w:cs="Arial"/>
          <w:b/>
          <w:bCs/>
        </w:rPr>
      </w:pPr>
      <w:r w:rsidRPr="006020F6">
        <w:rPr>
          <w:rFonts w:ascii="Arial" w:eastAsia="Calibri" w:hAnsi="Arial" w:cs="Arial"/>
          <w:b/>
          <w:bCs/>
        </w:rPr>
        <w:t>The role and contribution of skills devolution to the delivery of local strategic priorities</w:t>
      </w:r>
    </w:p>
    <w:p w14:paraId="61F8A299" w14:textId="0DE74A71" w:rsidR="006020F6" w:rsidRPr="006020F6" w:rsidRDefault="006020F6" w:rsidP="00725492">
      <w:pPr>
        <w:numPr>
          <w:ilvl w:val="0"/>
          <w:numId w:val="20"/>
        </w:numPr>
        <w:spacing w:after="120" w:line="276" w:lineRule="auto"/>
        <w:ind w:left="360"/>
        <w:rPr>
          <w:rFonts w:ascii="Arial" w:eastAsia="Calibri" w:hAnsi="Arial" w:cs="Arial"/>
        </w:rPr>
      </w:pPr>
      <w:r w:rsidRPr="006020F6">
        <w:rPr>
          <w:rFonts w:ascii="Arial" w:eastAsia="Calibri" w:hAnsi="Arial" w:cs="Arial"/>
        </w:rPr>
        <w:t>The way in which the role and contribution of skills devolution is articulated can only be understood within the policy context defined by the national and local industrial strategies (LIS).  The stated aim of the UK’s Industrial Strategy is “to boost productivity by backing businesses to create good jobs and increase the earning power of people throughout the UK with investment in skills, industries and infrastructure.”  Local strategies, and devolution, are intended to strengthen the capacity of local areas to deliver increased productivity and economic growth by tailoring interventions to local needs and circumstances.</w:t>
      </w:r>
      <w:r w:rsidR="00645BEA" w:rsidRPr="00725492">
        <w:rPr>
          <w:rFonts w:ascii="Arial" w:eastAsia="Calibri" w:hAnsi="Arial" w:cs="Arial"/>
        </w:rPr>
        <w:t xml:space="preserve">  </w:t>
      </w:r>
    </w:p>
    <w:p w14:paraId="77CB2EAD" w14:textId="18B01288" w:rsidR="00725492" w:rsidRPr="00883F51" w:rsidRDefault="006020F6" w:rsidP="00725492">
      <w:pPr>
        <w:numPr>
          <w:ilvl w:val="0"/>
          <w:numId w:val="25"/>
        </w:numPr>
        <w:spacing w:after="120" w:line="276" w:lineRule="auto"/>
        <w:ind w:left="360"/>
        <w:rPr>
          <w:rFonts w:ascii="Arial" w:eastAsia="Calibri" w:hAnsi="Arial" w:cs="Arial"/>
        </w:rPr>
      </w:pPr>
      <w:r w:rsidRPr="006020F6">
        <w:rPr>
          <w:rFonts w:ascii="Arial" w:eastAsia="Calibri" w:hAnsi="Arial" w:cs="Arial"/>
          <w:noProof/>
          <w:lang w:eastAsia="en-GB"/>
        </w:rPr>
        <w:t xml:space="preserve">Providers’ experience </w:t>
      </w:r>
      <w:r w:rsidRPr="00725492">
        <w:rPr>
          <w:rFonts w:ascii="Arial" w:eastAsia="Calibri" w:hAnsi="Arial" w:cs="Arial"/>
          <w:noProof/>
          <w:lang w:eastAsia="en-GB"/>
        </w:rPr>
        <w:t xml:space="preserve">confirms </w:t>
      </w:r>
      <w:r w:rsidRPr="006020F6">
        <w:rPr>
          <w:rFonts w:ascii="Arial" w:eastAsia="Calibri" w:hAnsi="Arial" w:cs="Arial"/>
          <w:noProof/>
          <w:lang w:eastAsia="en-GB"/>
        </w:rPr>
        <w:t xml:space="preserve">that Community Learning (CL) has to fit into a narrative of economic growth and assisting productivity.  Across MCAs there is a consistent expectation that what will be funded will contribute to the economic agenda.  </w:t>
      </w:r>
      <w:r w:rsidR="00725492" w:rsidRPr="00725492">
        <w:rPr>
          <w:rFonts w:ascii="Arial" w:eastAsia="Times New Roman" w:hAnsi="Arial" w:cs="Arial"/>
          <w:color w:val="1D2228"/>
          <w:lang w:eastAsia="en-GB"/>
        </w:rPr>
        <w:t>Skills are presented as sitting across the industrial and civic domains, but CL sits closer to the civic end of the spectrum.  This makes it fundamentally challenging to get the message of the value of CL across to MCAs which are primarily interested in industrial impacts.</w:t>
      </w:r>
      <w:r w:rsidR="00883F51">
        <w:rPr>
          <w:rFonts w:ascii="Arial" w:eastAsia="Times New Roman" w:hAnsi="Arial" w:cs="Arial"/>
          <w:color w:val="1D2228"/>
          <w:lang w:eastAsia="en-GB"/>
        </w:rPr>
        <w:t xml:space="preserve">  </w:t>
      </w:r>
    </w:p>
    <w:p w14:paraId="235FFC6A" w14:textId="6DF55502" w:rsidR="006020F6" w:rsidRPr="006020F6" w:rsidRDefault="006020F6" w:rsidP="00725492">
      <w:pPr>
        <w:numPr>
          <w:ilvl w:val="0"/>
          <w:numId w:val="25"/>
        </w:numPr>
        <w:spacing w:after="120" w:line="276" w:lineRule="auto"/>
        <w:ind w:left="360"/>
        <w:rPr>
          <w:rFonts w:ascii="Arial" w:eastAsia="Calibri" w:hAnsi="Arial" w:cs="Arial"/>
        </w:rPr>
      </w:pPr>
      <w:r w:rsidRPr="006020F6">
        <w:rPr>
          <w:rFonts w:ascii="Arial" w:eastAsia="Calibri" w:hAnsi="Arial" w:cs="Arial"/>
        </w:rPr>
        <w:t>A number of strategic themes emerge strongly and consistently across local areas in defining the role and contribution of skills:</w:t>
      </w:r>
    </w:p>
    <w:p w14:paraId="3463285A" w14:textId="77777777" w:rsidR="006020F6" w:rsidRPr="006020F6" w:rsidRDefault="006020F6" w:rsidP="00725492">
      <w:pPr>
        <w:numPr>
          <w:ilvl w:val="0"/>
          <w:numId w:val="21"/>
        </w:numPr>
        <w:spacing w:after="120" w:line="276" w:lineRule="auto"/>
        <w:rPr>
          <w:rFonts w:ascii="Arial" w:eastAsia="Calibri" w:hAnsi="Arial" w:cs="Arial"/>
        </w:rPr>
      </w:pPr>
      <w:r w:rsidRPr="006020F6">
        <w:rPr>
          <w:rFonts w:ascii="Arial" w:eastAsia="Calibri" w:hAnsi="Arial" w:cs="Arial"/>
        </w:rPr>
        <w:t>meeting the current and future skills needs of businesses, including understanding and addressing local skills shortages and skills gaps;</w:t>
      </w:r>
    </w:p>
    <w:p w14:paraId="5B0FE73A" w14:textId="77777777" w:rsidR="006020F6" w:rsidRPr="006020F6" w:rsidRDefault="006020F6" w:rsidP="00725492">
      <w:pPr>
        <w:numPr>
          <w:ilvl w:val="0"/>
          <w:numId w:val="21"/>
        </w:numPr>
        <w:spacing w:after="120" w:line="276" w:lineRule="auto"/>
        <w:rPr>
          <w:rFonts w:ascii="Arial" w:eastAsia="Calibri" w:hAnsi="Arial" w:cs="Arial"/>
        </w:rPr>
      </w:pPr>
      <w:r w:rsidRPr="006020F6">
        <w:rPr>
          <w:rFonts w:ascii="Arial" w:eastAsia="Calibri" w:hAnsi="Arial" w:cs="Arial"/>
        </w:rPr>
        <w:t>strengthening provision and pathways in technical education;</w:t>
      </w:r>
    </w:p>
    <w:p w14:paraId="0C267071" w14:textId="77777777" w:rsidR="006020F6" w:rsidRPr="006020F6" w:rsidRDefault="006020F6" w:rsidP="00725492">
      <w:pPr>
        <w:numPr>
          <w:ilvl w:val="0"/>
          <w:numId w:val="21"/>
        </w:numPr>
        <w:spacing w:after="120" w:line="276" w:lineRule="auto"/>
        <w:rPr>
          <w:rFonts w:ascii="Arial" w:eastAsia="Calibri" w:hAnsi="Arial" w:cs="Arial"/>
        </w:rPr>
      </w:pPr>
      <w:r w:rsidRPr="006020F6">
        <w:rPr>
          <w:rFonts w:ascii="Arial" w:eastAsia="Calibri" w:hAnsi="Arial" w:cs="Arial"/>
        </w:rPr>
        <w:t>promoting inclusive growth;</w:t>
      </w:r>
    </w:p>
    <w:p w14:paraId="28FB677F" w14:textId="3F2DB6F0" w:rsidR="00210F97" w:rsidRPr="00210F97" w:rsidRDefault="006020F6" w:rsidP="00210F97">
      <w:pPr>
        <w:numPr>
          <w:ilvl w:val="0"/>
          <w:numId w:val="21"/>
        </w:numPr>
        <w:spacing w:after="120" w:line="276" w:lineRule="auto"/>
        <w:rPr>
          <w:rFonts w:ascii="Arial" w:eastAsia="Calibri" w:hAnsi="Arial" w:cs="Arial"/>
        </w:rPr>
      </w:pPr>
      <w:r w:rsidRPr="006020F6">
        <w:rPr>
          <w:rFonts w:ascii="Arial" w:eastAsia="Calibri" w:hAnsi="Arial" w:cs="Arial"/>
        </w:rPr>
        <w:lastRenderedPageBreak/>
        <w:t>enabling upskilling for people in low wage, low skill occupations (some devolved areas are extending the AEB Low Pay pilot and in some cases raising the support threshold to the National / London Living Wage);</w:t>
      </w:r>
    </w:p>
    <w:p w14:paraId="58D6F3CC" w14:textId="77777777" w:rsidR="006020F6" w:rsidRPr="006020F6" w:rsidRDefault="006020F6" w:rsidP="00725492">
      <w:pPr>
        <w:numPr>
          <w:ilvl w:val="0"/>
          <w:numId w:val="21"/>
        </w:numPr>
        <w:spacing w:after="120" w:line="276" w:lineRule="auto"/>
        <w:rPr>
          <w:rFonts w:ascii="Arial" w:eastAsia="Calibri" w:hAnsi="Arial" w:cs="Arial"/>
        </w:rPr>
      </w:pPr>
      <w:r w:rsidRPr="006020F6">
        <w:rPr>
          <w:rFonts w:ascii="Arial" w:eastAsia="Calibri" w:hAnsi="Arial" w:cs="Arial"/>
        </w:rPr>
        <w:t>enabling reskilling for people in roles at risk of redundancy / obsolescence;</w:t>
      </w:r>
    </w:p>
    <w:p w14:paraId="4953B259" w14:textId="77777777" w:rsidR="006020F6" w:rsidRPr="006020F6" w:rsidRDefault="006020F6" w:rsidP="00725492">
      <w:pPr>
        <w:numPr>
          <w:ilvl w:val="0"/>
          <w:numId w:val="21"/>
        </w:numPr>
        <w:spacing w:after="120" w:line="276" w:lineRule="auto"/>
        <w:rPr>
          <w:rFonts w:ascii="Arial" w:eastAsia="Calibri" w:hAnsi="Arial" w:cs="Arial"/>
        </w:rPr>
      </w:pPr>
      <w:r w:rsidRPr="006020F6">
        <w:rPr>
          <w:rFonts w:ascii="Arial" w:eastAsia="Calibri" w:hAnsi="Arial" w:cs="Arial"/>
        </w:rPr>
        <w:t>developing entry and progression pathways for learning and work;</w:t>
      </w:r>
    </w:p>
    <w:p w14:paraId="2AEDE6FC" w14:textId="77777777" w:rsidR="006020F6" w:rsidRPr="006020F6" w:rsidRDefault="006020F6" w:rsidP="00725492">
      <w:pPr>
        <w:numPr>
          <w:ilvl w:val="0"/>
          <w:numId w:val="21"/>
        </w:numPr>
        <w:spacing w:after="120" w:line="276" w:lineRule="auto"/>
        <w:rPr>
          <w:rFonts w:ascii="Arial" w:eastAsia="Calibri" w:hAnsi="Arial" w:cs="Arial"/>
        </w:rPr>
      </w:pPr>
      <w:r w:rsidRPr="006020F6">
        <w:rPr>
          <w:rFonts w:ascii="Arial" w:eastAsia="Calibri" w:hAnsi="Arial" w:cs="Arial"/>
        </w:rPr>
        <w:t>developing high level skills;</w:t>
      </w:r>
    </w:p>
    <w:p w14:paraId="03C3258C" w14:textId="77777777" w:rsidR="006020F6" w:rsidRPr="006020F6" w:rsidRDefault="006020F6" w:rsidP="00725492">
      <w:pPr>
        <w:numPr>
          <w:ilvl w:val="0"/>
          <w:numId w:val="21"/>
        </w:numPr>
        <w:spacing w:after="120" w:line="276" w:lineRule="auto"/>
        <w:rPr>
          <w:rFonts w:ascii="Arial" w:eastAsia="Calibri" w:hAnsi="Arial" w:cs="Arial"/>
        </w:rPr>
      </w:pPr>
      <w:r w:rsidRPr="006020F6">
        <w:rPr>
          <w:rFonts w:ascii="Arial" w:eastAsia="Calibri" w:hAnsi="Arial" w:cs="Arial"/>
        </w:rPr>
        <w:t>developing digital skills;</w:t>
      </w:r>
    </w:p>
    <w:p w14:paraId="708410B9" w14:textId="77777777" w:rsidR="006020F6" w:rsidRPr="006020F6" w:rsidRDefault="006020F6" w:rsidP="00725492">
      <w:pPr>
        <w:numPr>
          <w:ilvl w:val="0"/>
          <w:numId w:val="21"/>
        </w:numPr>
        <w:spacing w:after="120" w:line="276" w:lineRule="auto"/>
        <w:rPr>
          <w:rFonts w:ascii="Arial" w:eastAsia="Calibri" w:hAnsi="Arial" w:cs="Arial"/>
        </w:rPr>
      </w:pPr>
      <w:r w:rsidRPr="006020F6">
        <w:rPr>
          <w:rFonts w:ascii="Arial" w:eastAsia="Calibri" w:hAnsi="Arial" w:cs="Arial"/>
        </w:rPr>
        <w:t>improving basic skills (English, Maths, ESOL);</w:t>
      </w:r>
    </w:p>
    <w:p w14:paraId="15827123" w14:textId="77777777" w:rsidR="006020F6" w:rsidRPr="006020F6" w:rsidRDefault="006020F6" w:rsidP="00725492">
      <w:pPr>
        <w:numPr>
          <w:ilvl w:val="0"/>
          <w:numId w:val="21"/>
        </w:numPr>
        <w:spacing w:after="120" w:line="276" w:lineRule="auto"/>
        <w:rPr>
          <w:rFonts w:ascii="Arial" w:eastAsia="Calibri" w:hAnsi="Arial" w:cs="Arial"/>
        </w:rPr>
      </w:pPr>
      <w:r w:rsidRPr="006020F6">
        <w:rPr>
          <w:rFonts w:ascii="Arial" w:eastAsia="Calibri" w:hAnsi="Arial" w:cs="Arial"/>
        </w:rPr>
        <w:t>strengthening Careers Information Advice and Guidance;</w:t>
      </w:r>
    </w:p>
    <w:p w14:paraId="483AFCCB" w14:textId="4BF72C35" w:rsidR="006020F6" w:rsidRDefault="006020F6" w:rsidP="00725492">
      <w:pPr>
        <w:numPr>
          <w:ilvl w:val="0"/>
          <w:numId w:val="21"/>
        </w:numPr>
        <w:spacing w:after="120" w:line="276" w:lineRule="auto"/>
        <w:rPr>
          <w:rFonts w:ascii="Arial" w:eastAsia="Calibri" w:hAnsi="Arial" w:cs="Arial"/>
        </w:rPr>
      </w:pPr>
      <w:r w:rsidRPr="006020F6">
        <w:rPr>
          <w:rFonts w:ascii="Arial" w:eastAsia="Calibri" w:hAnsi="Arial" w:cs="Arial"/>
        </w:rPr>
        <w:t>developing flexible delivery models.</w:t>
      </w:r>
    </w:p>
    <w:p w14:paraId="6467C9DD" w14:textId="77777777" w:rsidR="00255993" w:rsidRPr="006020F6" w:rsidRDefault="00255993" w:rsidP="00255993">
      <w:pPr>
        <w:spacing w:after="120" w:line="276" w:lineRule="auto"/>
        <w:rPr>
          <w:rFonts w:ascii="Arial" w:eastAsia="Calibri" w:hAnsi="Arial" w:cs="Arial"/>
        </w:rPr>
      </w:pPr>
    </w:p>
    <w:p w14:paraId="1A00D09D" w14:textId="77777777" w:rsidR="006020F6" w:rsidRPr="006020F6" w:rsidRDefault="006020F6" w:rsidP="00725492">
      <w:pPr>
        <w:numPr>
          <w:ilvl w:val="0"/>
          <w:numId w:val="22"/>
        </w:numPr>
        <w:spacing w:after="120" w:line="276" w:lineRule="auto"/>
        <w:ind w:left="360"/>
        <w:rPr>
          <w:rFonts w:ascii="Arial" w:eastAsia="Calibri" w:hAnsi="Arial" w:cs="Arial"/>
        </w:rPr>
      </w:pPr>
      <w:r w:rsidRPr="006020F6">
        <w:rPr>
          <w:rFonts w:ascii="Arial" w:eastAsia="Calibri" w:hAnsi="Arial" w:cs="Arial"/>
        </w:rPr>
        <w:t>The devolution of AEB means that the funding receives considerable attention.  Each local area has dedicated web pages which explain the role and purpose of AEB and how the funding will be used as well as providing links to supporting materials and information.  In some cases, details of funding allocations are published.  Broadly, AEB is described as a means of developing targeted and tailored local responses which will contribute towards delivering strategic skills priorities, with a focus on the ways in which funding and commissioning will strengthen entry and progression pathways for the most disadvantaged, e.g. unemployed adults, adults in low paid work and adults in priority communities.  Funding is prioritised for learning that is aligned to skills shortage occupations and priority growth sectors.  There is a strong focus on using AEB for workforce reskilling and upskilling and to provide a platform for progression to higher level skills (L3+) which are more likely to impact on productivity.</w:t>
      </w:r>
    </w:p>
    <w:p w14:paraId="0A8566CD" w14:textId="3AC58809" w:rsidR="00DB0D35" w:rsidRPr="00DB0D35" w:rsidRDefault="00725492" w:rsidP="00052141">
      <w:pPr>
        <w:pStyle w:val="ListParagraph"/>
        <w:numPr>
          <w:ilvl w:val="0"/>
          <w:numId w:val="6"/>
        </w:numPr>
        <w:spacing w:after="120" w:line="276" w:lineRule="auto"/>
        <w:ind w:left="360"/>
        <w:contextualSpacing w:val="0"/>
        <w:rPr>
          <w:rFonts w:ascii="Arial" w:eastAsia="Calibri" w:hAnsi="Arial" w:cs="Arial"/>
        </w:rPr>
      </w:pPr>
      <w:r w:rsidRPr="00725492">
        <w:rPr>
          <w:rFonts w:ascii="Arial" w:hAnsi="Arial" w:cs="Arial"/>
        </w:rPr>
        <w:t xml:space="preserve">Alignment, integration and similar terms abound in the local strategic plans.  Much is made of the intention to develop and implement whole system approaches.  Some specific models are presented, e.g. GM Unified Public Services Model.  Within this context, a range of (overlapping) “sub-systems” are identified in which skills are an integral element.  </w:t>
      </w:r>
    </w:p>
    <w:p w14:paraId="53AE8C16" w14:textId="77777777" w:rsidR="00DB0D35" w:rsidRDefault="00DB0D35" w:rsidP="008B79DB">
      <w:pPr>
        <w:pStyle w:val="ListParagraph"/>
        <w:numPr>
          <w:ilvl w:val="0"/>
          <w:numId w:val="24"/>
        </w:numPr>
        <w:spacing w:line="257" w:lineRule="auto"/>
        <w:contextualSpacing w:val="0"/>
        <w:rPr>
          <w:rFonts w:ascii="Arial" w:hAnsi="Arial" w:cs="Arial"/>
        </w:rPr>
      </w:pPr>
      <w:r w:rsidRPr="00DB0D35">
        <w:rPr>
          <w:rFonts w:ascii="Arial" w:hAnsi="Arial" w:cs="Arial"/>
        </w:rPr>
        <w:t xml:space="preserve">Employment and skills system: skills provision is aligned with and subservient to labour market needs.  The role of AEB is to provide foundation skills, entry and progression opportunities that will support progression in learning and employment.  Local areas state their intention to align and link AEB with both other skills programmes (Traineeships, Apprenticeships, higher technical education, other HE – the term “skills ecosystem” is occasionally used) and employment support programmes.  AEB is also targeted on skills shortage and priority occupations and sectors.  </w:t>
      </w:r>
    </w:p>
    <w:p w14:paraId="5FF4D7B9" w14:textId="026EB189" w:rsidR="00DB0D35" w:rsidRPr="00210F97" w:rsidRDefault="00DB0D35" w:rsidP="00210F97">
      <w:pPr>
        <w:pStyle w:val="ListParagraph"/>
        <w:numPr>
          <w:ilvl w:val="0"/>
          <w:numId w:val="24"/>
        </w:numPr>
        <w:spacing w:line="257" w:lineRule="auto"/>
        <w:contextualSpacing w:val="0"/>
        <w:rPr>
          <w:rFonts w:ascii="Arial" w:hAnsi="Arial" w:cs="Arial"/>
        </w:rPr>
      </w:pPr>
      <w:r w:rsidRPr="00DB0D35">
        <w:rPr>
          <w:rFonts w:ascii="Arial" w:hAnsi="Arial" w:cs="Arial"/>
        </w:rPr>
        <w:lastRenderedPageBreak/>
        <w:t xml:space="preserve">Business support system: skills are central to workforce planning and development to drive innovation and growth; support for business growth and better skills utilisation will create better jobs and strengthen demand for higher level skills.  (This could be </w:t>
      </w:r>
      <w:r w:rsidRPr="00210F97">
        <w:rPr>
          <w:rFonts w:ascii="Arial" w:hAnsi="Arial" w:cs="Arial"/>
        </w:rPr>
        <w:t>interesting to unpick further as there is a chicken and egg element.  How far should the aim be to increase the supply of higher skilled individuals in advance of the ability of employers to utilise those skills?)</w:t>
      </w:r>
    </w:p>
    <w:p w14:paraId="4F04C37A" w14:textId="77777777" w:rsidR="00DB0D35" w:rsidRDefault="00DB0D35" w:rsidP="00DB0D35">
      <w:pPr>
        <w:pStyle w:val="ListParagraph"/>
        <w:numPr>
          <w:ilvl w:val="0"/>
          <w:numId w:val="24"/>
        </w:numPr>
        <w:spacing w:line="257" w:lineRule="auto"/>
        <w:contextualSpacing w:val="0"/>
        <w:rPr>
          <w:rFonts w:ascii="Arial" w:hAnsi="Arial" w:cs="Arial"/>
        </w:rPr>
      </w:pPr>
      <w:r>
        <w:rPr>
          <w:rFonts w:ascii="Arial" w:hAnsi="Arial" w:cs="Arial"/>
        </w:rPr>
        <w:t xml:space="preserve">Skills, employment and health system: this is less consistently articulated across local areas but is a priority for some where health inequalities have been shown to have a major impact on levels of economic inactivity, notably Manchester, Liverpool and TV.  GM proposes integrated work, skills and health interventions and alignment of AEB with funding for work and health programmes.  Of course, this approach also needs to be understood in terms of the productivity / growth agenda – poor health / mental health is a brake on UK productivity.  </w:t>
      </w:r>
    </w:p>
    <w:p w14:paraId="0B46DD71" w14:textId="1DA5F110" w:rsidR="00FC728F" w:rsidRPr="00255993" w:rsidRDefault="00DB0D35" w:rsidP="00255993">
      <w:pPr>
        <w:pStyle w:val="ListParagraph"/>
        <w:numPr>
          <w:ilvl w:val="0"/>
          <w:numId w:val="24"/>
        </w:numPr>
        <w:spacing w:line="257" w:lineRule="auto"/>
        <w:contextualSpacing w:val="0"/>
        <w:rPr>
          <w:rFonts w:ascii="Arial" w:hAnsi="Arial" w:cs="Arial"/>
        </w:rPr>
      </w:pPr>
      <w:r>
        <w:rPr>
          <w:rFonts w:ascii="Arial" w:hAnsi="Arial" w:cs="Arial"/>
        </w:rPr>
        <w:t>Skills, work and transport system: again, this is less prominent but several local areas (London, TV and West of England) state their intention to develop an integrated strategic approach which enables transport related barriers to learning and work to be addressed.</w:t>
      </w:r>
    </w:p>
    <w:p w14:paraId="7432ADFB" w14:textId="5D4DC336" w:rsidR="00725492" w:rsidRPr="00210F97" w:rsidRDefault="00725492" w:rsidP="00210F97">
      <w:pPr>
        <w:spacing w:after="120" w:line="276" w:lineRule="auto"/>
        <w:rPr>
          <w:rFonts w:ascii="Arial" w:eastAsia="Calibri" w:hAnsi="Arial" w:cs="Arial"/>
        </w:rPr>
      </w:pPr>
      <w:r w:rsidRPr="00210F97">
        <w:rPr>
          <w:rFonts w:ascii="Arial" w:hAnsi="Arial" w:cs="Arial"/>
        </w:rPr>
        <w:t xml:space="preserve">However, in reality, siloed funding works against integration. </w:t>
      </w:r>
    </w:p>
    <w:p w14:paraId="43D37863" w14:textId="021DB893" w:rsidR="006020F6" w:rsidRDefault="00DB0D35" w:rsidP="00052141">
      <w:pPr>
        <w:pStyle w:val="ListParagraph"/>
        <w:numPr>
          <w:ilvl w:val="0"/>
          <w:numId w:val="6"/>
        </w:numPr>
        <w:spacing w:after="120" w:line="276" w:lineRule="auto"/>
        <w:ind w:left="360"/>
        <w:contextualSpacing w:val="0"/>
        <w:rPr>
          <w:rFonts w:ascii="Arial" w:eastAsia="Calibri" w:hAnsi="Arial" w:cs="Arial"/>
        </w:rPr>
      </w:pPr>
      <w:r>
        <w:rPr>
          <w:rFonts w:ascii="Arial" w:eastAsia="Calibri" w:hAnsi="Arial" w:cs="Arial"/>
          <w:lang w:eastAsia="en-GB"/>
        </w:rPr>
        <w:t>The working group explored a</w:t>
      </w:r>
      <w:r w:rsidR="00725492" w:rsidRPr="00725492">
        <w:rPr>
          <w:rFonts w:ascii="Arial" w:eastAsia="Calibri" w:hAnsi="Arial" w:cs="Arial"/>
          <w:lang w:eastAsia="en-GB"/>
        </w:rPr>
        <w:t xml:space="preserve">lternative starting points for thinking about the purpose of skills to </w:t>
      </w:r>
      <w:r>
        <w:rPr>
          <w:rFonts w:ascii="Arial" w:eastAsia="Calibri" w:hAnsi="Arial" w:cs="Arial"/>
          <w:lang w:eastAsia="en-GB"/>
        </w:rPr>
        <w:t xml:space="preserve">those put forward in the strategy documents of devolved areas.  </w:t>
      </w:r>
      <w:r w:rsidR="00725492" w:rsidRPr="00725492">
        <w:rPr>
          <w:rFonts w:ascii="Arial" w:eastAsia="Calibri" w:hAnsi="Arial" w:cs="Arial"/>
          <w:lang w:eastAsia="en-GB"/>
        </w:rPr>
        <w:t xml:space="preserve">For example, a proposition that the aim of LAs/MCAs is for residents to thrive in life has the potential to drive the bringing together of a “network of wellbeing” into which AEB fits.  LAs / MCAs have to have a network that extends beyond skills if they want skills to flourish.  This calls for an expansive definition of skills.  A skills strategy </w:t>
      </w:r>
      <w:r>
        <w:rPr>
          <w:rFonts w:ascii="Arial" w:eastAsia="Calibri" w:hAnsi="Arial" w:cs="Arial"/>
          <w:lang w:eastAsia="en-GB"/>
        </w:rPr>
        <w:t xml:space="preserve">delivery </w:t>
      </w:r>
      <w:r w:rsidR="00725492" w:rsidRPr="00725492">
        <w:rPr>
          <w:rFonts w:ascii="Arial" w:eastAsia="Calibri" w:hAnsi="Arial" w:cs="Arial"/>
          <w:lang w:eastAsia="en-GB"/>
        </w:rPr>
        <w:t xml:space="preserve">needs to be effectively integrated with other strategies for e.g. health, transport, housing, etc.  Key is convincing the networks around individual services that they need the networks of other services too.  Each can benefit from one another’s connections and insights.  </w:t>
      </w:r>
    </w:p>
    <w:p w14:paraId="48F6D87E" w14:textId="77777777" w:rsidR="00210F97" w:rsidRPr="00255993" w:rsidRDefault="00210F97" w:rsidP="00255993">
      <w:pPr>
        <w:spacing w:after="120" w:line="276" w:lineRule="auto"/>
        <w:rPr>
          <w:rFonts w:ascii="Arial" w:eastAsia="Calibri" w:hAnsi="Arial" w:cs="Arial"/>
        </w:rPr>
      </w:pPr>
    </w:p>
    <w:p w14:paraId="52824931" w14:textId="77777777" w:rsidR="00E003E7" w:rsidRPr="00725492" w:rsidRDefault="00E003E7" w:rsidP="00725492">
      <w:pPr>
        <w:pStyle w:val="ListParagraph"/>
        <w:numPr>
          <w:ilvl w:val="0"/>
          <w:numId w:val="4"/>
        </w:numPr>
        <w:spacing w:after="120" w:line="276" w:lineRule="auto"/>
        <w:ind w:left="360"/>
        <w:contextualSpacing w:val="0"/>
        <w:rPr>
          <w:rFonts w:ascii="Arial" w:hAnsi="Arial" w:cs="Arial"/>
          <w:b/>
          <w:bCs/>
        </w:rPr>
      </w:pPr>
      <w:r w:rsidRPr="00725492">
        <w:rPr>
          <w:rFonts w:ascii="Arial" w:hAnsi="Arial" w:cs="Arial"/>
          <w:b/>
          <w:bCs/>
        </w:rPr>
        <w:t>Local approaches to community learning</w:t>
      </w:r>
    </w:p>
    <w:p w14:paraId="1F9774F6" w14:textId="5FDEED1F" w:rsidR="00E003E7" w:rsidRPr="00725492" w:rsidRDefault="00536B87" w:rsidP="00725492">
      <w:pPr>
        <w:pStyle w:val="ListParagraph"/>
        <w:numPr>
          <w:ilvl w:val="0"/>
          <w:numId w:val="13"/>
        </w:numPr>
        <w:spacing w:after="120" w:line="276" w:lineRule="auto"/>
        <w:ind w:left="360"/>
        <w:contextualSpacing w:val="0"/>
        <w:rPr>
          <w:rFonts w:ascii="Arial" w:hAnsi="Arial" w:cs="Arial"/>
        </w:rPr>
      </w:pPr>
      <w:r w:rsidRPr="00725492">
        <w:rPr>
          <w:rFonts w:ascii="Arial" w:hAnsi="Arial" w:cs="Arial"/>
          <w:lang w:val="en-US"/>
        </w:rPr>
        <w:t>Community learning as a distinct strand of AEB receives little attention in strategy documents and communications</w:t>
      </w:r>
      <w:r w:rsidR="0009263D" w:rsidRPr="00725492">
        <w:rPr>
          <w:rFonts w:ascii="Arial" w:hAnsi="Arial" w:cs="Arial"/>
          <w:lang w:val="en-US"/>
        </w:rPr>
        <w:t>.</w:t>
      </w:r>
      <w:r w:rsidRPr="00725492">
        <w:rPr>
          <w:rFonts w:ascii="Arial" w:hAnsi="Arial" w:cs="Arial"/>
          <w:lang w:val="en-US"/>
        </w:rPr>
        <w:t xml:space="preserve"> </w:t>
      </w:r>
      <w:r w:rsidR="00846B57" w:rsidRPr="00725492">
        <w:rPr>
          <w:rFonts w:ascii="Arial" w:hAnsi="Arial" w:cs="Arial"/>
          <w:lang w:val="en-US"/>
        </w:rPr>
        <w:t xml:space="preserve"> </w:t>
      </w:r>
      <w:r w:rsidRPr="00725492">
        <w:rPr>
          <w:rFonts w:ascii="Arial" w:hAnsi="Arial" w:cs="Arial"/>
          <w:lang w:val="en-US"/>
        </w:rPr>
        <w:t xml:space="preserve">The local </w:t>
      </w:r>
      <w:r w:rsidRPr="00725492">
        <w:rPr>
          <w:rFonts w:ascii="Arial" w:hAnsi="Arial" w:cs="Arial"/>
          <w:i/>
          <w:iCs/>
          <w:lang w:val="en-US"/>
        </w:rPr>
        <w:t xml:space="preserve">AEB Funding Rules </w:t>
      </w:r>
      <w:r w:rsidRPr="00725492">
        <w:rPr>
          <w:rFonts w:ascii="Arial" w:hAnsi="Arial" w:cs="Arial"/>
          <w:lang w:val="en-US"/>
        </w:rPr>
        <w:t xml:space="preserve">are the only place where it is addressed by all areas.  </w:t>
      </w:r>
      <w:r w:rsidR="00B869A2" w:rsidRPr="00725492">
        <w:rPr>
          <w:rFonts w:ascii="Arial" w:hAnsi="Arial" w:cs="Arial"/>
          <w:lang w:val="en-US"/>
        </w:rPr>
        <w:t xml:space="preserve">It is clear from these that, in common with the wider devolved AEB, CL is expected to support progression to further learning or employment.  </w:t>
      </w:r>
      <w:r w:rsidRPr="00725492">
        <w:rPr>
          <w:rFonts w:ascii="Arial" w:hAnsi="Arial" w:cs="Arial"/>
          <w:lang w:val="en-US"/>
        </w:rPr>
        <w:t xml:space="preserve">The </w:t>
      </w:r>
      <w:r w:rsidR="004944F1" w:rsidRPr="00725492">
        <w:rPr>
          <w:rFonts w:ascii="Arial" w:hAnsi="Arial" w:cs="Arial"/>
          <w:lang w:val="en-US"/>
        </w:rPr>
        <w:t>n</w:t>
      </w:r>
      <w:r w:rsidRPr="00725492">
        <w:rPr>
          <w:rFonts w:ascii="Arial" w:hAnsi="Arial" w:cs="Arial"/>
          <w:lang w:val="en-US"/>
        </w:rPr>
        <w:t xml:space="preserve">ational CL objectives </w:t>
      </w:r>
      <w:r w:rsidR="006020F6" w:rsidRPr="00725492">
        <w:rPr>
          <w:rFonts w:ascii="Arial" w:hAnsi="Arial" w:cs="Arial"/>
          <w:lang w:val="en-US"/>
        </w:rPr>
        <w:t xml:space="preserve">which were first set out in </w:t>
      </w:r>
      <w:r w:rsidR="006020F6" w:rsidRPr="00725492">
        <w:rPr>
          <w:rFonts w:ascii="Arial" w:hAnsi="Arial" w:cs="Arial"/>
          <w:i/>
          <w:iCs/>
          <w:lang w:val="en-US"/>
        </w:rPr>
        <w:t xml:space="preserve">New Challenges New Chances </w:t>
      </w:r>
      <w:r w:rsidR="006020F6" w:rsidRPr="00725492">
        <w:rPr>
          <w:rFonts w:ascii="Arial" w:hAnsi="Arial" w:cs="Arial"/>
          <w:lang w:val="en-US"/>
        </w:rPr>
        <w:t xml:space="preserve">(2011) </w:t>
      </w:r>
      <w:r w:rsidRPr="00725492">
        <w:rPr>
          <w:rFonts w:ascii="Arial" w:hAnsi="Arial" w:cs="Arial"/>
          <w:lang w:val="en-US"/>
        </w:rPr>
        <w:t>have broadly been adopted in these documents</w:t>
      </w:r>
      <w:r w:rsidR="004944F1" w:rsidRPr="00725492">
        <w:rPr>
          <w:rFonts w:ascii="Arial" w:hAnsi="Arial" w:cs="Arial"/>
          <w:lang w:val="en-US"/>
        </w:rPr>
        <w:t xml:space="preserve"> and it is stated that community learning which is to be funded through AEB must contribute to these</w:t>
      </w:r>
      <w:r w:rsidRPr="00725492">
        <w:rPr>
          <w:rFonts w:ascii="Arial" w:hAnsi="Arial" w:cs="Arial"/>
          <w:lang w:val="en-US"/>
        </w:rPr>
        <w:t xml:space="preserve">. </w:t>
      </w:r>
      <w:r w:rsidR="00B869A2" w:rsidRPr="00725492">
        <w:rPr>
          <w:rFonts w:ascii="Arial" w:hAnsi="Arial" w:cs="Arial"/>
          <w:lang w:val="en-US"/>
        </w:rPr>
        <w:t xml:space="preserve">  </w:t>
      </w:r>
      <w:r w:rsidR="00943A85" w:rsidRPr="00725492">
        <w:rPr>
          <w:rFonts w:ascii="Arial" w:hAnsi="Arial" w:cs="Arial"/>
          <w:lang w:val="en-US"/>
        </w:rPr>
        <w:t>This approach is in line with the stated intentions of local areas to maintain continuity during these early stages of devolution, but it may be expected that such consistency will diminish over time.</w:t>
      </w:r>
    </w:p>
    <w:p w14:paraId="69B7313C" w14:textId="22A50C0F" w:rsidR="004C3694" w:rsidRPr="00725492" w:rsidRDefault="004C3694" w:rsidP="00725492">
      <w:pPr>
        <w:pStyle w:val="ListParagraph"/>
        <w:numPr>
          <w:ilvl w:val="0"/>
          <w:numId w:val="13"/>
        </w:numPr>
        <w:spacing w:after="120" w:line="276" w:lineRule="auto"/>
        <w:ind w:left="360"/>
        <w:contextualSpacing w:val="0"/>
        <w:rPr>
          <w:rFonts w:ascii="Arial" w:hAnsi="Arial" w:cs="Arial"/>
        </w:rPr>
      </w:pPr>
      <w:r w:rsidRPr="00725492">
        <w:rPr>
          <w:rFonts w:ascii="Arial" w:eastAsia="Calibri" w:hAnsi="Arial" w:cs="Arial"/>
          <w:lang w:eastAsia="en-GB"/>
        </w:rPr>
        <w:lastRenderedPageBreak/>
        <w:t xml:space="preserve">The narrowing of the concept of </w:t>
      </w:r>
      <w:r w:rsidR="00210F97">
        <w:rPr>
          <w:rFonts w:ascii="Arial" w:eastAsia="Calibri" w:hAnsi="Arial" w:cs="Arial"/>
          <w:lang w:eastAsia="en-GB"/>
        </w:rPr>
        <w:t>‘</w:t>
      </w:r>
      <w:r w:rsidRPr="00725492">
        <w:rPr>
          <w:rFonts w:ascii="Arial" w:eastAsia="Calibri" w:hAnsi="Arial" w:cs="Arial"/>
          <w:lang w:eastAsia="en-GB"/>
        </w:rPr>
        <w:t>skills</w:t>
      </w:r>
      <w:r w:rsidR="00210F97">
        <w:rPr>
          <w:rFonts w:ascii="Arial" w:eastAsia="Calibri" w:hAnsi="Arial" w:cs="Arial"/>
          <w:lang w:eastAsia="en-GB"/>
        </w:rPr>
        <w:t>’</w:t>
      </w:r>
      <w:r w:rsidRPr="00725492">
        <w:rPr>
          <w:rFonts w:ascii="Arial" w:eastAsia="Calibri" w:hAnsi="Arial" w:cs="Arial"/>
          <w:lang w:eastAsia="en-GB"/>
        </w:rPr>
        <w:t xml:space="preserve"> within policymaking, and dependency within devolved areas on local decision makers who have limited understanding of adult community learning presents a significant risk to the funding for</w:t>
      </w:r>
      <w:r w:rsidR="00B869A2" w:rsidRPr="00725492">
        <w:rPr>
          <w:rFonts w:ascii="Arial" w:eastAsia="Calibri" w:hAnsi="Arial" w:cs="Arial"/>
          <w:lang w:eastAsia="en-GB"/>
        </w:rPr>
        <w:t xml:space="preserve"> this type of provision</w:t>
      </w:r>
      <w:r w:rsidRPr="00725492">
        <w:rPr>
          <w:rFonts w:ascii="Arial" w:eastAsia="Calibri" w:hAnsi="Arial" w:cs="Arial"/>
          <w:lang w:eastAsia="en-GB"/>
        </w:rPr>
        <w:t xml:space="preserve">.  A recent </w:t>
      </w:r>
      <w:r w:rsidRPr="00725492">
        <w:rPr>
          <w:rFonts w:ascii="Arial" w:eastAsia="Calibri" w:hAnsi="Arial" w:cs="Arial"/>
          <w:i/>
          <w:iCs/>
          <w:lang w:eastAsia="en-GB"/>
        </w:rPr>
        <w:t>Handbook</w:t>
      </w:r>
      <w:r w:rsidRPr="00725492">
        <w:rPr>
          <w:rStyle w:val="FootnoteReference"/>
          <w:rFonts w:ascii="Arial" w:eastAsia="Calibri" w:hAnsi="Arial" w:cs="Arial"/>
          <w:i/>
          <w:iCs/>
          <w:lang w:eastAsia="en-GB"/>
        </w:rPr>
        <w:footnoteReference w:id="2"/>
      </w:r>
      <w:r w:rsidRPr="00725492">
        <w:rPr>
          <w:rFonts w:ascii="Arial" w:eastAsia="Calibri" w:hAnsi="Arial" w:cs="Arial"/>
          <w:i/>
          <w:iCs/>
          <w:lang w:eastAsia="en-GB"/>
        </w:rPr>
        <w:t xml:space="preserve"> </w:t>
      </w:r>
      <w:r w:rsidRPr="00725492">
        <w:rPr>
          <w:rFonts w:ascii="Arial" w:eastAsia="Calibri" w:hAnsi="Arial" w:cs="Arial"/>
          <w:lang w:eastAsia="en-GB"/>
        </w:rPr>
        <w:t xml:space="preserve">produced by England’s Local Government Association (LGA) aims to raise awareness and open civic leaders’ / councillors’ eyes to possibilities of Adult Education Budget for community-based work.  It includes useful definitions and an outcomes framework.  </w:t>
      </w:r>
    </w:p>
    <w:p w14:paraId="5C9C9B1D" w14:textId="119DC803" w:rsidR="006C293E" w:rsidRDefault="00943A85" w:rsidP="00725492">
      <w:pPr>
        <w:pStyle w:val="ListParagraph"/>
        <w:numPr>
          <w:ilvl w:val="0"/>
          <w:numId w:val="13"/>
        </w:numPr>
        <w:spacing w:after="120" w:line="276" w:lineRule="auto"/>
        <w:ind w:left="360"/>
        <w:contextualSpacing w:val="0"/>
        <w:rPr>
          <w:rFonts w:ascii="Arial" w:eastAsia="Calibri" w:hAnsi="Arial" w:cs="Arial"/>
          <w:lang w:eastAsia="en-GB"/>
        </w:rPr>
      </w:pPr>
      <w:r w:rsidRPr="00725492">
        <w:rPr>
          <w:rFonts w:ascii="Arial" w:eastAsia="Calibri" w:hAnsi="Arial" w:cs="Arial"/>
          <w:lang w:eastAsia="en-GB"/>
        </w:rPr>
        <w:t>Devolution presents an opportunity to pull together a coherent plan and strengthen local coordination and collaboration for Adult Education, but it is not clear how robustly this is being done in local areas.</w:t>
      </w:r>
      <w:r w:rsidRPr="00725492">
        <w:rPr>
          <w:rFonts w:ascii="Arial" w:hAnsi="Arial" w:cs="Arial"/>
        </w:rPr>
        <w:t xml:space="preserve"> </w:t>
      </w:r>
      <w:r w:rsidRPr="00725492">
        <w:rPr>
          <w:rFonts w:ascii="Arial" w:eastAsia="Calibri" w:hAnsi="Arial" w:cs="Arial"/>
          <w:lang w:eastAsia="en-GB"/>
        </w:rPr>
        <w:t>The structure / composition of the provider base and “who is in and who is out” is hugely variable across MCAs</w:t>
      </w:r>
      <w:r w:rsidR="00026619">
        <w:rPr>
          <w:rFonts w:ascii="Arial" w:eastAsia="Calibri" w:hAnsi="Arial" w:cs="Arial"/>
          <w:lang w:eastAsia="en-GB"/>
        </w:rPr>
        <w:t xml:space="preserve">.  </w:t>
      </w:r>
      <w:r w:rsidR="00F103CD">
        <w:rPr>
          <w:rFonts w:ascii="Arial" w:eastAsia="Calibri" w:hAnsi="Arial" w:cs="Arial"/>
          <w:lang w:eastAsia="en-GB"/>
        </w:rPr>
        <w:t xml:space="preserve">There are some indications that devolution may be leading to </w:t>
      </w:r>
      <w:r w:rsidR="00026619" w:rsidRPr="00CA50B8">
        <w:rPr>
          <w:rFonts w:ascii="Arial" w:eastAsia="Calibri" w:hAnsi="Arial" w:cs="Arial"/>
          <w:lang w:eastAsia="en-GB"/>
        </w:rPr>
        <w:t xml:space="preserve">greater splitting / segmentation of the provider base in terms of what each type of provider </w:t>
      </w:r>
      <w:r w:rsidR="00F103CD">
        <w:rPr>
          <w:rFonts w:ascii="Arial" w:eastAsia="Calibri" w:hAnsi="Arial" w:cs="Arial"/>
          <w:lang w:eastAsia="en-GB"/>
        </w:rPr>
        <w:t xml:space="preserve">(ACL, colleges, ITPs) </w:t>
      </w:r>
      <w:r w:rsidR="00026619" w:rsidRPr="00CA50B8">
        <w:rPr>
          <w:rFonts w:ascii="Arial" w:eastAsia="Calibri" w:hAnsi="Arial" w:cs="Arial"/>
          <w:lang w:eastAsia="en-GB"/>
        </w:rPr>
        <w:t>should be delivering</w:t>
      </w:r>
      <w:r w:rsidR="00F103CD">
        <w:rPr>
          <w:rFonts w:ascii="Arial" w:eastAsia="Calibri" w:hAnsi="Arial" w:cs="Arial"/>
          <w:lang w:eastAsia="en-GB"/>
        </w:rPr>
        <w:t xml:space="preserve">.  The rationale for this kind of planning approach is unclear, but it may be an attempt to simplify the landscape.  </w:t>
      </w:r>
    </w:p>
    <w:p w14:paraId="3385A937" w14:textId="77777777" w:rsidR="00210F97" w:rsidRPr="00255993" w:rsidRDefault="00210F97" w:rsidP="00255993">
      <w:pPr>
        <w:spacing w:after="120" w:line="276" w:lineRule="auto"/>
        <w:rPr>
          <w:rFonts w:ascii="Arial" w:eastAsia="Calibri" w:hAnsi="Arial" w:cs="Arial"/>
          <w:lang w:eastAsia="en-GB"/>
        </w:rPr>
      </w:pPr>
    </w:p>
    <w:p w14:paraId="77CC15B4" w14:textId="3F9E4002" w:rsidR="00846B57" w:rsidRPr="00725492" w:rsidRDefault="00846B57" w:rsidP="00725492">
      <w:pPr>
        <w:pStyle w:val="ListParagraph"/>
        <w:numPr>
          <w:ilvl w:val="0"/>
          <w:numId w:val="4"/>
        </w:numPr>
        <w:spacing w:after="120" w:line="276" w:lineRule="auto"/>
        <w:ind w:left="360"/>
        <w:contextualSpacing w:val="0"/>
        <w:rPr>
          <w:rFonts w:ascii="Arial" w:hAnsi="Arial" w:cs="Arial"/>
          <w:b/>
          <w:bCs/>
        </w:rPr>
      </w:pPr>
      <w:r w:rsidRPr="00725492">
        <w:rPr>
          <w:rFonts w:ascii="Arial" w:hAnsi="Arial" w:cs="Arial"/>
          <w:b/>
          <w:bCs/>
        </w:rPr>
        <w:t>Evaluation of AEB</w:t>
      </w:r>
    </w:p>
    <w:p w14:paraId="1AC62066" w14:textId="10685F98" w:rsidR="003D18F0" w:rsidRPr="00026619" w:rsidRDefault="003D18F0" w:rsidP="00725492">
      <w:pPr>
        <w:numPr>
          <w:ilvl w:val="0"/>
          <w:numId w:val="15"/>
        </w:numPr>
        <w:spacing w:after="120" w:line="276" w:lineRule="auto"/>
        <w:ind w:left="360"/>
        <w:rPr>
          <w:rFonts w:ascii="Arial" w:hAnsi="Arial" w:cs="Arial"/>
        </w:rPr>
      </w:pPr>
      <w:r w:rsidRPr="00725492">
        <w:rPr>
          <w:rFonts w:ascii="Arial" w:hAnsi="Arial" w:cs="Arial"/>
          <w:lang w:val="en-US"/>
        </w:rPr>
        <w:t>What will be measured is influenced by the perceived role of AEB and national reporting requirements.  Overwhelmingly, the current focus is on AEB’s role in supporting progression to further learning (at a higher level) and entry or progression in employment (including self-employment</w:t>
      </w:r>
      <w:r w:rsidR="00144BDC" w:rsidRPr="00725492">
        <w:rPr>
          <w:rFonts w:ascii="Arial" w:hAnsi="Arial" w:cs="Arial"/>
          <w:lang w:val="en-US"/>
        </w:rPr>
        <w:t>)</w:t>
      </w:r>
      <w:r w:rsidR="00401783" w:rsidRPr="00725492">
        <w:rPr>
          <w:rFonts w:ascii="Arial" w:hAnsi="Arial" w:cs="Arial"/>
          <w:lang w:val="en-US"/>
        </w:rPr>
        <w:t>, and these are the outcomes that providers are asked to capture and report</w:t>
      </w:r>
      <w:r w:rsidR="00144BDC" w:rsidRPr="00725492">
        <w:rPr>
          <w:rFonts w:ascii="Arial" w:hAnsi="Arial" w:cs="Arial"/>
          <w:lang w:val="en-US"/>
        </w:rPr>
        <w:t xml:space="preserve">.  </w:t>
      </w:r>
      <w:r w:rsidRPr="00725492">
        <w:rPr>
          <w:rFonts w:ascii="Arial" w:hAnsi="Arial" w:cs="Arial"/>
          <w:lang w:val="en-US"/>
        </w:rPr>
        <w:t xml:space="preserve"> </w:t>
      </w:r>
    </w:p>
    <w:p w14:paraId="3DD5ACDE" w14:textId="2670DC3C" w:rsidR="003D18F0" w:rsidRDefault="00EA0B70" w:rsidP="00725492">
      <w:pPr>
        <w:numPr>
          <w:ilvl w:val="0"/>
          <w:numId w:val="15"/>
        </w:numPr>
        <w:spacing w:after="120" w:line="276" w:lineRule="auto"/>
        <w:ind w:left="360"/>
        <w:rPr>
          <w:rFonts w:ascii="Arial" w:hAnsi="Arial" w:cs="Arial"/>
        </w:rPr>
      </w:pPr>
      <w:r w:rsidRPr="00725492">
        <w:rPr>
          <w:rFonts w:ascii="Arial" w:hAnsi="Arial" w:cs="Arial"/>
        </w:rPr>
        <w:t xml:space="preserve">None of the devolved areas has </w:t>
      </w:r>
      <w:r w:rsidR="00026619">
        <w:rPr>
          <w:rFonts w:ascii="Arial" w:hAnsi="Arial" w:cs="Arial"/>
        </w:rPr>
        <w:t xml:space="preserve">yet </w:t>
      </w:r>
      <w:r w:rsidRPr="00725492">
        <w:rPr>
          <w:rFonts w:ascii="Arial" w:hAnsi="Arial" w:cs="Arial"/>
        </w:rPr>
        <w:t>produced an evaluation strategy for AEB.  Indications of what measures will be used to assess the effectiveness of provision suggest a limited approach in some areas.</w:t>
      </w:r>
      <w:r w:rsidRPr="00725492">
        <w:rPr>
          <w:rFonts w:ascii="Arial" w:hAnsi="Arial" w:cs="Arial"/>
          <w:lang w:val="en-US"/>
        </w:rPr>
        <w:t xml:space="preserve"> Several areas state that developing a local approach is a work in progress and its is expected that data collection requirements will change.  </w:t>
      </w:r>
      <w:r w:rsidR="003D18F0" w:rsidRPr="00725492">
        <w:rPr>
          <w:rFonts w:ascii="Arial" w:hAnsi="Arial" w:cs="Arial"/>
          <w:lang w:val="en-US"/>
        </w:rPr>
        <w:t>With a few exceptions, strategy documents and other communications say little about the possible or anticipated wider social outcomes of learning.</w:t>
      </w:r>
      <w:r w:rsidR="003D18F0" w:rsidRPr="00725492">
        <w:rPr>
          <w:rFonts w:ascii="Arial" w:hAnsi="Arial" w:cs="Arial"/>
        </w:rPr>
        <w:t xml:space="preserve">  Liverpool and London are notable exceptions.</w:t>
      </w:r>
    </w:p>
    <w:p w14:paraId="52BDAAE9" w14:textId="6F667A14" w:rsidR="00026619" w:rsidRPr="00210F97" w:rsidRDefault="00026619" w:rsidP="00210F97">
      <w:pPr>
        <w:numPr>
          <w:ilvl w:val="0"/>
          <w:numId w:val="15"/>
        </w:numPr>
        <w:spacing w:after="120" w:line="276" w:lineRule="auto"/>
        <w:ind w:left="360"/>
        <w:rPr>
          <w:rFonts w:ascii="Arial" w:hAnsi="Arial" w:cs="Arial"/>
        </w:rPr>
      </w:pPr>
      <w:r>
        <w:rPr>
          <w:rFonts w:ascii="Arial" w:eastAsia="Times New Roman" w:hAnsi="Arial" w:cs="Arial"/>
          <w:color w:val="1D2228"/>
          <w:lang w:eastAsia="en-GB"/>
        </w:rPr>
        <w:t>The brigading of AEB in service of the growth and productivity agenda has become highly politicised in some regions.  As a devolved budget, i</w:t>
      </w:r>
      <w:r w:rsidRPr="00725492">
        <w:rPr>
          <w:rFonts w:ascii="Arial" w:eastAsia="Times New Roman" w:hAnsi="Arial" w:cs="Arial"/>
          <w:color w:val="1D2228"/>
          <w:lang w:eastAsia="en-GB"/>
        </w:rPr>
        <w:t xml:space="preserve">t is one of the ways in which </w:t>
      </w:r>
      <w:r>
        <w:rPr>
          <w:rFonts w:ascii="Arial" w:eastAsia="Times New Roman" w:hAnsi="Arial" w:cs="Arial"/>
          <w:color w:val="1D2228"/>
          <w:lang w:eastAsia="en-GB"/>
        </w:rPr>
        <w:t xml:space="preserve">an </w:t>
      </w:r>
      <w:r w:rsidRPr="00725492">
        <w:rPr>
          <w:rFonts w:ascii="Arial" w:eastAsia="Times New Roman" w:hAnsi="Arial" w:cs="Arial"/>
          <w:color w:val="1D2228"/>
          <w:lang w:eastAsia="en-GB"/>
        </w:rPr>
        <w:t xml:space="preserve">MCA can demonstrate </w:t>
      </w:r>
      <w:r>
        <w:rPr>
          <w:rFonts w:ascii="Arial" w:eastAsia="Times New Roman" w:hAnsi="Arial" w:cs="Arial"/>
          <w:color w:val="1D2228"/>
          <w:lang w:eastAsia="en-GB"/>
        </w:rPr>
        <w:t>its</w:t>
      </w:r>
      <w:r w:rsidRPr="00725492">
        <w:rPr>
          <w:rFonts w:ascii="Arial" w:eastAsia="Times New Roman" w:hAnsi="Arial" w:cs="Arial"/>
          <w:color w:val="1D2228"/>
          <w:lang w:eastAsia="en-GB"/>
        </w:rPr>
        <w:t xml:space="preserve"> impact</w:t>
      </w:r>
      <w:r>
        <w:rPr>
          <w:rFonts w:ascii="Arial" w:eastAsia="Times New Roman" w:hAnsi="Arial" w:cs="Arial"/>
          <w:color w:val="1D2228"/>
          <w:lang w:eastAsia="en-GB"/>
        </w:rPr>
        <w:t xml:space="preserve"> on key measures of success around moving people into jobs or preparing them for work.  This is likely to become increasingly the case post</w:t>
      </w:r>
      <w:r w:rsidR="00210F97">
        <w:rPr>
          <w:rFonts w:ascii="Arial" w:eastAsia="Times New Roman" w:hAnsi="Arial" w:cs="Arial"/>
          <w:color w:val="1D2228"/>
          <w:lang w:eastAsia="en-GB"/>
        </w:rPr>
        <w:t>-</w:t>
      </w:r>
      <w:r w:rsidRPr="00210F97">
        <w:rPr>
          <w:rFonts w:ascii="Arial" w:eastAsia="Times New Roman" w:hAnsi="Arial" w:cs="Arial"/>
          <w:color w:val="1D2228"/>
          <w:lang w:eastAsia="en-GB"/>
        </w:rPr>
        <w:t xml:space="preserve">Covid, with growing unemployment and the need to restart the economy.  AEB is now being talked about in some MCAs as an investment plan, with the identification at </w:t>
      </w:r>
      <w:r w:rsidRPr="00210F97">
        <w:rPr>
          <w:rFonts w:ascii="Arial" w:eastAsia="Times New Roman" w:hAnsi="Arial" w:cs="Arial"/>
          <w:color w:val="1D2228"/>
          <w:lang w:eastAsia="en-GB"/>
        </w:rPr>
        <w:lastRenderedPageBreak/>
        <w:t>strategic level of elements where growth is desired.  CL is barely mentioned in this context and demonstrating to MCAs how CL delivers value and impact is a huge challenge for the sector.</w:t>
      </w:r>
    </w:p>
    <w:p w14:paraId="353E16CC" w14:textId="548D706F" w:rsidR="00EA0B70" w:rsidRPr="00DB0D35" w:rsidRDefault="00EA0B70" w:rsidP="00725492">
      <w:pPr>
        <w:pStyle w:val="ListParagraph"/>
        <w:numPr>
          <w:ilvl w:val="0"/>
          <w:numId w:val="15"/>
        </w:numPr>
        <w:spacing w:after="120" w:line="276" w:lineRule="auto"/>
        <w:ind w:left="360"/>
        <w:contextualSpacing w:val="0"/>
        <w:rPr>
          <w:rFonts w:ascii="Arial" w:eastAsia="Calibri" w:hAnsi="Arial" w:cs="Arial"/>
          <w:lang w:eastAsia="en-GB"/>
        </w:rPr>
      </w:pPr>
      <w:r w:rsidRPr="00725492">
        <w:rPr>
          <w:rFonts w:ascii="Arial" w:eastAsia="Calibri" w:hAnsi="Arial" w:cs="Arial"/>
          <w:lang w:eastAsia="en-GB"/>
        </w:rPr>
        <w:t xml:space="preserve">A six-part outcomes framework has been developed by ACL providers in London and is presented in the LGA </w:t>
      </w:r>
      <w:r w:rsidRPr="00725492">
        <w:rPr>
          <w:rFonts w:ascii="Arial" w:eastAsia="Calibri" w:hAnsi="Arial" w:cs="Arial"/>
          <w:i/>
          <w:iCs/>
          <w:lang w:eastAsia="en-GB"/>
        </w:rPr>
        <w:t xml:space="preserve">Handbook.  </w:t>
      </w:r>
      <w:r w:rsidRPr="00725492">
        <w:rPr>
          <w:rFonts w:ascii="Arial" w:eastAsia="Calibri" w:hAnsi="Arial" w:cs="Arial"/>
          <w:lang w:eastAsia="en-GB"/>
        </w:rPr>
        <w:t xml:space="preserve">There is a strong sense </w:t>
      </w:r>
      <w:r w:rsidR="00645BEA" w:rsidRPr="00725492">
        <w:rPr>
          <w:rFonts w:ascii="Arial" w:eastAsia="Calibri" w:hAnsi="Arial" w:cs="Arial"/>
          <w:lang w:eastAsia="en-GB"/>
        </w:rPr>
        <w:t>from</w:t>
      </w:r>
      <w:r w:rsidRPr="00725492">
        <w:rPr>
          <w:rFonts w:ascii="Arial" w:eastAsia="Calibri" w:hAnsi="Arial" w:cs="Arial"/>
          <w:lang w:eastAsia="en-GB"/>
        </w:rPr>
        <w:t xml:space="preserve"> the sector that a broad national framework is needed which can be adopted and adapted across devolved areas</w:t>
      </w:r>
      <w:r w:rsidR="00645BEA" w:rsidRPr="00725492">
        <w:rPr>
          <w:rFonts w:ascii="Arial" w:eastAsia="Calibri" w:hAnsi="Arial" w:cs="Arial"/>
          <w:lang w:eastAsia="en-GB"/>
        </w:rPr>
        <w:t xml:space="preserve">, and interest in undertaking a national outcomes pilot with associated metrics. </w:t>
      </w:r>
      <w:r w:rsidR="00F103CD">
        <w:rPr>
          <w:rFonts w:ascii="Arial" w:eastAsia="Times New Roman" w:hAnsi="Arial" w:cs="Arial"/>
          <w:color w:val="1D2228"/>
          <w:lang w:eastAsia="en-GB"/>
        </w:rPr>
        <w:t xml:space="preserve">LGA model is felt to be sufficiently generic and open to have the potential to be used across MCAs.  </w:t>
      </w:r>
    </w:p>
    <w:p w14:paraId="7FB1548D" w14:textId="64E5C003" w:rsidR="006C293E" w:rsidRPr="00725492" w:rsidRDefault="00645BEA" w:rsidP="00725492">
      <w:pPr>
        <w:pStyle w:val="ListParagraph"/>
        <w:numPr>
          <w:ilvl w:val="0"/>
          <w:numId w:val="15"/>
        </w:numPr>
        <w:spacing w:after="120" w:line="276" w:lineRule="auto"/>
        <w:ind w:left="360"/>
        <w:contextualSpacing w:val="0"/>
        <w:rPr>
          <w:rFonts w:ascii="Arial" w:eastAsia="Times New Roman" w:hAnsi="Arial" w:cs="Arial"/>
          <w:lang w:eastAsia="en-GB"/>
        </w:rPr>
      </w:pPr>
      <w:r w:rsidRPr="00725492">
        <w:rPr>
          <w:rFonts w:ascii="Arial" w:eastAsia="Calibri" w:hAnsi="Arial" w:cs="Arial"/>
          <w:lang w:eastAsia="en-GB"/>
        </w:rPr>
        <w:t xml:space="preserve">While it is </w:t>
      </w:r>
      <w:r w:rsidR="006C293E" w:rsidRPr="00725492">
        <w:rPr>
          <w:rFonts w:ascii="Arial" w:eastAsia="Calibri" w:hAnsi="Arial" w:cs="Arial"/>
          <w:lang w:eastAsia="en-GB"/>
        </w:rPr>
        <w:t xml:space="preserve">evident that policymakers </w:t>
      </w:r>
      <w:r w:rsidRPr="00725492">
        <w:rPr>
          <w:rFonts w:ascii="Arial" w:eastAsia="Calibri" w:hAnsi="Arial" w:cs="Arial"/>
          <w:lang w:eastAsia="en-GB"/>
        </w:rPr>
        <w:t xml:space="preserve">currently </w:t>
      </w:r>
      <w:r w:rsidR="006C293E" w:rsidRPr="00725492">
        <w:rPr>
          <w:rFonts w:ascii="Arial" w:eastAsia="Calibri" w:hAnsi="Arial" w:cs="Arial"/>
          <w:lang w:eastAsia="en-GB"/>
        </w:rPr>
        <w:t xml:space="preserve">have little appetite for </w:t>
      </w:r>
      <w:r w:rsidRPr="00725492">
        <w:rPr>
          <w:rFonts w:ascii="Arial" w:eastAsia="Calibri" w:hAnsi="Arial" w:cs="Arial"/>
          <w:lang w:eastAsia="en-GB"/>
        </w:rPr>
        <w:t xml:space="preserve">participation as </w:t>
      </w:r>
      <w:r w:rsidR="006C293E" w:rsidRPr="00725492">
        <w:rPr>
          <w:rFonts w:ascii="Arial" w:eastAsia="Calibri" w:hAnsi="Arial" w:cs="Arial"/>
          <w:lang w:eastAsia="en-GB"/>
        </w:rPr>
        <w:t>the main measure</w:t>
      </w:r>
      <w:r w:rsidRPr="00725492">
        <w:rPr>
          <w:rFonts w:ascii="Arial" w:eastAsia="Calibri" w:hAnsi="Arial" w:cs="Arial"/>
          <w:lang w:eastAsia="en-GB"/>
        </w:rPr>
        <w:t xml:space="preserve"> for adult education, stakeholders stress that it remains key to demonstrating </w:t>
      </w:r>
      <w:r w:rsidR="00FC728F" w:rsidRPr="00725492">
        <w:rPr>
          <w:rFonts w:ascii="Arial" w:eastAsia="Calibri" w:hAnsi="Arial" w:cs="Arial"/>
          <w:lang w:eastAsia="en-GB"/>
        </w:rPr>
        <w:t>impact.</w:t>
      </w:r>
    </w:p>
    <w:p w14:paraId="1CC238E1" w14:textId="50D09889" w:rsidR="004C3694" w:rsidRPr="00FC728F" w:rsidRDefault="004C3694" w:rsidP="00725492">
      <w:pPr>
        <w:numPr>
          <w:ilvl w:val="0"/>
          <w:numId w:val="15"/>
        </w:numPr>
        <w:spacing w:after="120" w:line="276" w:lineRule="auto"/>
        <w:ind w:left="360"/>
        <w:rPr>
          <w:rFonts w:ascii="Arial" w:hAnsi="Arial" w:cs="Arial"/>
          <w:b/>
          <w:bCs/>
        </w:rPr>
      </w:pPr>
      <w:r w:rsidRPr="00725492">
        <w:rPr>
          <w:rFonts w:ascii="Arial" w:eastAsia="Calibri" w:hAnsi="Arial" w:cs="Arial"/>
          <w:lang w:eastAsia="en-GB"/>
        </w:rPr>
        <w:t>Post Covi</w:t>
      </w:r>
      <w:r w:rsidR="00DB0D35">
        <w:rPr>
          <w:rFonts w:ascii="Arial" w:eastAsia="Calibri" w:hAnsi="Arial" w:cs="Arial"/>
          <w:lang w:eastAsia="en-GB"/>
        </w:rPr>
        <w:t>d, the</w:t>
      </w:r>
      <w:r w:rsidRPr="00725492">
        <w:rPr>
          <w:rFonts w:ascii="Arial" w:eastAsia="Calibri" w:hAnsi="Arial" w:cs="Arial"/>
          <w:lang w:eastAsia="en-GB"/>
        </w:rPr>
        <w:t xml:space="preserve"> positive health and wellbeing impacts of CL need to be emphasised.  The narrative should be that </w:t>
      </w:r>
      <w:r w:rsidRPr="00725492">
        <w:rPr>
          <w:rFonts w:ascii="Arial" w:eastAsia="Calibri" w:hAnsi="Arial" w:cs="Arial"/>
          <w:i/>
          <w:iCs/>
          <w:lang w:eastAsia="en-GB"/>
        </w:rPr>
        <w:t>we can only have an economic recovery if the citizens of local area are able to be more productive and engaged in widest sense.</w:t>
      </w:r>
      <w:r w:rsidRPr="00725492">
        <w:rPr>
          <w:rFonts w:ascii="Arial" w:eastAsia="Calibri" w:hAnsi="Arial" w:cs="Arial"/>
          <w:lang w:eastAsia="en-GB"/>
        </w:rPr>
        <w:t xml:space="preserve">  This could be a starting point for opening the discussi</w:t>
      </w:r>
      <w:r w:rsidR="00DB0D35">
        <w:rPr>
          <w:rFonts w:ascii="Arial" w:eastAsia="Calibri" w:hAnsi="Arial" w:cs="Arial"/>
          <w:lang w:eastAsia="en-GB"/>
        </w:rPr>
        <w:t>o</w:t>
      </w:r>
      <w:r w:rsidRPr="00725492">
        <w:rPr>
          <w:rFonts w:ascii="Arial" w:eastAsia="Calibri" w:hAnsi="Arial" w:cs="Arial"/>
          <w:lang w:eastAsia="en-GB"/>
        </w:rPr>
        <w:t xml:space="preserve">n </w:t>
      </w:r>
      <w:r w:rsidR="00DB0D35">
        <w:rPr>
          <w:rFonts w:ascii="Arial" w:eastAsia="Calibri" w:hAnsi="Arial" w:cs="Arial"/>
          <w:lang w:eastAsia="en-GB"/>
        </w:rPr>
        <w:t xml:space="preserve">about the value of CL </w:t>
      </w:r>
      <w:r w:rsidRPr="00725492">
        <w:rPr>
          <w:rFonts w:ascii="Arial" w:eastAsia="Calibri" w:hAnsi="Arial" w:cs="Arial"/>
          <w:lang w:eastAsia="en-GB"/>
        </w:rPr>
        <w:t>with local policymakers.</w:t>
      </w:r>
    </w:p>
    <w:p w14:paraId="651EB564" w14:textId="77777777" w:rsidR="00210F97" w:rsidRPr="00725492" w:rsidRDefault="00210F97" w:rsidP="00210F97">
      <w:pPr>
        <w:spacing w:after="120" w:line="276" w:lineRule="auto"/>
        <w:rPr>
          <w:rFonts w:ascii="Arial" w:hAnsi="Arial" w:cs="Arial"/>
          <w:b/>
          <w:bCs/>
        </w:rPr>
      </w:pPr>
    </w:p>
    <w:p w14:paraId="6197B174" w14:textId="04F1E1A8" w:rsidR="00645BEA" w:rsidRPr="00725492" w:rsidRDefault="00645BEA" w:rsidP="00725492">
      <w:pPr>
        <w:pStyle w:val="ListParagraph"/>
        <w:numPr>
          <w:ilvl w:val="0"/>
          <w:numId w:val="4"/>
        </w:numPr>
        <w:spacing w:after="120" w:line="276" w:lineRule="auto"/>
        <w:ind w:left="360"/>
        <w:contextualSpacing w:val="0"/>
        <w:rPr>
          <w:rFonts w:ascii="Arial" w:hAnsi="Arial" w:cs="Arial"/>
          <w:b/>
          <w:bCs/>
        </w:rPr>
      </w:pPr>
      <w:r w:rsidRPr="00725492">
        <w:rPr>
          <w:rFonts w:ascii="Arial" w:eastAsia="Times New Roman" w:hAnsi="Arial" w:cs="Arial"/>
          <w:b/>
          <w:bCs/>
          <w:color w:val="1D2228"/>
          <w:lang w:eastAsia="en-GB"/>
        </w:rPr>
        <w:t>Conclusions and implications to date</w:t>
      </w:r>
    </w:p>
    <w:p w14:paraId="137F9067" w14:textId="424A9871" w:rsidR="00645BEA" w:rsidRPr="00645BEA" w:rsidRDefault="00FC728F" w:rsidP="00725492">
      <w:pPr>
        <w:spacing w:after="120" w:line="276" w:lineRule="auto"/>
        <w:rPr>
          <w:rFonts w:ascii="Arial" w:eastAsia="Times New Roman" w:hAnsi="Arial" w:cs="Arial"/>
          <w:color w:val="1D2228"/>
          <w:lang w:eastAsia="en-GB"/>
        </w:rPr>
      </w:pPr>
      <w:r>
        <w:rPr>
          <w:rFonts w:ascii="Arial" w:eastAsia="Times New Roman" w:hAnsi="Arial" w:cs="Arial"/>
          <w:color w:val="1D2228"/>
          <w:lang w:eastAsia="en-GB"/>
        </w:rPr>
        <w:t xml:space="preserve">Following discussions with the project subgroups, it </w:t>
      </w:r>
      <w:r w:rsidR="00645BEA" w:rsidRPr="00645BEA">
        <w:rPr>
          <w:rFonts w:ascii="Arial" w:eastAsia="Times New Roman" w:hAnsi="Arial" w:cs="Arial"/>
          <w:color w:val="1D2228"/>
          <w:lang w:eastAsia="en-GB"/>
        </w:rPr>
        <w:t>was felt we needed a model for analysis:</w:t>
      </w:r>
    </w:p>
    <w:p w14:paraId="1FD36A0E" w14:textId="144D311D" w:rsidR="00645BEA" w:rsidRPr="00645BEA" w:rsidRDefault="00645BEA" w:rsidP="00FC728F">
      <w:pPr>
        <w:numPr>
          <w:ilvl w:val="0"/>
          <w:numId w:val="28"/>
        </w:numPr>
        <w:spacing w:after="120" w:line="276" w:lineRule="auto"/>
        <w:ind w:left="924" w:hanging="357"/>
        <w:rPr>
          <w:rFonts w:ascii="Arial" w:eastAsia="Times New Roman" w:hAnsi="Arial" w:cs="Arial"/>
          <w:color w:val="1D2228"/>
          <w:lang w:eastAsia="en-GB"/>
        </w:rPr>
      </w:pPr>
      <w:r w:rsidRPr="00FC728F">
        <w:rPr>
          <w:rFonts w:ascii="Arial" w:eastAsia="Times New Roman" w:hAnsi="Arial" w:cs="Arial"/>
          <w:b/>
          <w:bCs/>
          <w:color w:val="1D2228"/>
          <w:lang w:eastAsia="en-GB"/>
        </w:rPr>
        <w:t>Purpose</w:t>
      </w:r>
      <w:r w:rsidR="00FC728F">
        <w:rPr>
          <w:rFonts w:ascii="Arial" w:eastAsia="Times New Roman" w:hAnsi="Arial" w:cs="Arial"/>
          <w:color w:val="1D2228"/>
          <w:lang w:eastAsia="en-GB"/>
        </w:rPr>
        <w:t>—linking broadly to our analysis of the strategic context for skills and the positioning of community learning within it</w:t>
      </w:r>
    </w:p>
    <w:p w14:paraId="0C985C21" w14:textId="658EFDCB" w:rsidR="00645BEA" w:rsidRPr="00645BEA" w:rsidRDefault="00645BEA" w:rsidP="00FC728F">
      <w:pPr>
        <w:numPr>
          <w:ilvl w:val="0"/>
          <w:numId w:val="28"/>
        </w:numPr>
        <w:spacing w:after="120" w:line="276" w:lineRule="auto"/>
        <w:ind w:left="924" w:hanging="357"/>
        <w:rPr>
          <w:rFonts w:ascii="Arial" w:eastAsia="Times New Roman" w:hAnsi="Arial" w:cs="Arial"/>
          <w:color w:val="1D2228"/>
          <w:lang w:eastAsia="en-GB"/>
        </w:rPr>
      </w:pPr>
      <w:r w:rsidRPr="00FC728F">
        <w:rPr>
          <w:rFonts w:ascii="Arial" w:eastAsia="Times New Roman" w:hAnsi="Arial" w:cs="Arial"/>
          <w:b/>
          <w:bCs/>
          <w:color w:val="1D2228"/>
          <w:lang w:eastAsia="en-GB"/>
        </w:rPr>
        <w:t>Approaches</w:t>
      </w:r>
      <w:r w:rsidR="00FC728F">
        <w:rPr>
          <w:rFonts w:ascii="Arial" w:eastAsia="Times New Roman" w:hAnsi="Arial" w:cs="Arial"/>
          <w:color w:val="1D2228"/>
          <w:lang w:eastAsia="en-GB"/>
        </w:rPr>
        <w:t>—how community learning is funded and listened to as an approach to the delivery of local skills (and other) needs</w:t>
      </w:r>
    </w:p>
    <w:p w14:paraId="4C130493" w14:textId="4DBDD89D" w:rsidR="00645BEA" w:rsidRPr="00645BEA" w:rsidRDefault="00645BEA" w:rsidP="00FC728F">
      <w:pPr>
        <w:numPr>
          <w:ilvl w:val="0"/>
          <w:numId w:val="28"/>
        </w:numPr>
        <w:spacing w:after="120" w:line="276" w:lineRule="auto"/>
        <w:ind w:left="924" w:hanging="357"/>
        <w:rPr>
          <w:rFonts w:ascii="Arial" w:eastAsia="Times New Roman" w:hAnsi="Arial" w:cs="Arial"/>
          <w:color w:val="1D2228"/>
          <w:lang w:eastAsia="en-GB"/>
        </w:rPr>
      </w:pPr>
      <w:r w:rsidRPr="00FC728F">
        <w:rPr>
          <w:rFonts w:ascii="Arial" w:eastAsia="Times New Roman" w:hAnsi="Arial" w:cs="Arial"/>
          <w:b/>
          <w:bCs/>
          <w:color w:val="1D2228"/>
          <w:lang w:eastAsia="en-GB"/>
        </w:rPr>
        <w:t>Evaluation</w:t>
      </w:r>
      <w:r w:rsidR="00FC728F">
        <w:rPr>
          <w:rFonts w:ascii="Arial" w:eastAsia="Times New Roman" w:hAnsi="Arial" w:cs="Arial"/>
          <w:color w:val="1D2228"/>
          <w:lang w:eastAsia="en-GB"/>
        </w:rPr>
        <w:t>—how strategies are evaluated, how skills (and other outcomes) are measured, and within that community learning</w:t>
      </w:r>
    </w:p>
    <w:p w14:paraId="6DE7A67C" w14:textId="77777777" w:rsidR="00FC728F" w:rsidRDefault="00645BEA" w:rsidP="00725492">
      <w:pPr>
        <w:spacing w:after="120" w:line="276" w:lineRule="auto"/>
        <w:rPr>
          <w:rFonts w:ascii="Arial" w:eastAsia="Times New Roman" w:hAnsi="Arial" w:cs="Arial"/>
          <w:color w:val="1D2228"/>
          <w:lang w:eastAsia="en-GB"/>
        </w:rPr>
      </w:pPr>
      <w:r w:rsidRPr="00645BEA">
        <w:rPr>
          <w:rFonts w:ascii="Arial" w:eastAsia="Times New Roman" w:hAnsi="Arial" w:cs="Arial"/>
          <w:color w:val="1D2228"/>
          <w:lang w:eastAsia="en-GB"/>
        </w:rPr>
        <w:t xml:space="preserve">The model should be regarded as a cycle whereby the evaluation of the effectiveness will inform future planning.  It will allow policymakers to better understand and revise the purpose of the </w:t>
      </w:r>
      <w:proofErr w:type="spellStart"/>
      <w:r w:rsidRPr="00645BEA">
        <w:rPr>
          <w:rFonts w:ascii="Arial" w:eastAsia="Times New Roman" w:hAnsi="Arial" w:cs="Arial"/>
          <w:color w:val="1D2228"/>
          <w:lang w:eastAsia="en-GB"/>
        </w:rPr>
        <w:t>AEB</w:t>
      </w:r>
      <w:proofErr w:type="spellEnd"/>
      <w:r w:rsidRPr="00645BEA">
        <w:rPr>
          <w:rFonts w:ascii="Arial" w:eastAsia="Times New Roman" w:hAnsi="Arial" w:cs="Arial"/>
          <w:color w:val="1D2228"/>
          <w:lang w:eastAsia="en-GB"/>
        </w:rPr>
        <w:t xml:space="preserve"> in future.</w:t>
      </w:r>
    </w:p>
    <w:p w14:paraId="40199C6B" w14:textId="6AEAC906" w:rsidR="00FC728F" w:rsidRDefault="00FC728F" w:rsidP="00725492">
      <w:pPr>
        <w:spacing w:after="120" w:line="276" w:lineRule="auto"/>
        <w:rPr>
          <w:rFonts w:ascii="Arial" w:eastAsia="Times New Roman" w:hAnsi="Arial" w:cs="Arial"/>
          <w:color w:val="1D2228"/>
          <w:lang w:eastAsia="en-GB"/>
        </w:rPr>
      </w:pPr>
      <w:r>
        <w:rPr>
          <w:rFonts w:ascii="Arial" w:eastAsia="Times New Roman" w:hAnsi="Arial" w:cs="Arial"/>
          <w:color w:val="1D2228"/>
          <w:lang w:eastAsia="en-GB"/>
        </w:rPr>
        <w:t>Under each of the three sections of the cycle we have devised, with the help of the subgroups, the type of questions that could be asked about local skills strategies.  This would be a useful resource for local communities and their representatives who wish to hold regional planners to account.</w:t>
      </w:r>
    </w:p>
    <w:p w14:paraId="2124F143" w14:textId="77777777" w:rsidR="0009342D" w:rsidRPr="00645BEA" w:rsidRDefault="0009342D" w:rsidP="00210F97">
      <w:pPr>
        <w:spacing w:after="120" w:line="276" w:lineRule="auto"/>
        <w:rPr>
          <w:rFonts w:ascii="Arial" w:eastAsia="Calibri" w:hAnsi="Arial" w:cs="Arial"/>
          <w:noProof/>
        </w:rPr>
      </w:pPr>
    </w:p>
    <w:p w14:paraId="3D039057" w14:textId="77777777" w:rsidR="00645BEA" w:rsidRPr="00645BEA" w:rsidRDefault="00645BEA" w:rsidP="00645BEA">
      <w:pPr>
        <w:spacing w:after="0" w:line="240" w:lineRule="auto"/>
        <w:rPr>
          <w:rFonts w:ascii="Arial" w:eastAsia="Calibri" w:hAnsi="Arial" w:cs="Arial"/>
          <w:noProof/>
          <w:sz w:val="24"/>
          <w:szCs w:val="24"/>
        </w:rPr>
      </w:pPr>
      <w:r w:rsidRPr="00645BEA">
        <w:rPr>
          <w:rFonts w:ascii="Calibri" w:eastAsia="Calibri" w:hAnsi="Calibri" w:cs="Times New Roman"/>
          <w:noProof/>
          <w:sz w:val="24"/>
          <w:szCs w:val="24"/>
        </w:rPr>
        <w:lastRenderedPageBreak/>
        <w:drawing>
          <wp:inline distT="0" distB="0" distL="0" distR="0" wp14:anchorId="7185D228" wp14:editId="0666452D">
            <wp:extent cx="5725795" cy="3089457"/>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9043584" w14:textId="6EB37235" w:rsidR="00645BEA" w:rsidRPr="00645BEA" w:rsidRDefault="00645BEA" w:rsidP="00DB0D35">
      <w:pPr>
        <w:spacing w:after="0" w:line="240" w:lineRule="auto"/>
        <w:ind w:left="720"/>
        <w:contextualSpacing/>
        <w:rPr>
          <w:rFonts w:ascii="Arial" w:eastAsia="Calibri" w:hAnsi="Arial" w:cs="Arial"/>
          <w:noProof/>
          <w:sz w:val="24"/>
          <w:szCs w:val="24"/>
        </w:rPr>
      </w:pPr>
    </w:p>
    <w:p w14:paraId="45E9F8A5" w14:textId="20A72CD1" w:rsidR="00FC728F" w:rsidRPr="00FC728F" w:rsidRDefault="00FC728F" w:rsidP="00FC728F">
      <w:pPr>
        <w:spacing w:after="120" w:line="276" w:lineRule="auto"/>
        <w:rPr>
          <w:rFonts w:ascii="Arial" w:eastAsia="Times New Roman" w:hAnsi="Arial" w:cs="Arial"/>
          <w:b/>
          <w:bCs/>
          <w:color w:val="1D2228"/>
          <w:lang w:eastAsia="en-GB"/>
        </w:rPr>
      </w:pPr>
      <w:r w:rsidRPr="00FC728F">
        <w:rPr>
          <w:rFonts w:ascii="Arial" w:eastAsia="Times New Roman" w:hAnsi="Arial" w:cs="Arial"/>
          <w:b/>
          <w:bCs/>
          <w:color w:val="1D2228"/>
          <w:lang w:eastAsia="en-GB"/>
        </w:rPr>
        <w:t xml:space="preserve">Purpose </w:t>
      </w:r>
    </w:p>
    <w:p w14:paraId="353C8669" w14:textId="5638EC4E" w:rsidR="00FC728F" w:rsidRPr="00FC728F" w:rsidRDefault="00437C56" w:rsidP="00FC728F">
      <w:pPr>
        <w:numPr>
          <w:ilvl w:val="0"/>
          <w:numId w:val="30"/>
        </w:numPr>
        <w:spacing w:after="120" w:line="276" w:lineRule="auto"/>
        <w:rPr>
          <w:rFonts w:ascii="Arial" w:eastAsia="Times New Roman" w:hAnsi="Arial" w:cs="Arial"/>
          <w:color w:val="1D2228"/>
          <w:lang w:eastAsia="en-GB"/>
        </w:rPr>
      </w:pPr>
      <w:r>
        <w:rPr>
          <w:rFonts w:ascii="Arial" w:eastAsia="Times New Roman" w:hAnsi="Arial" w:cs="Arial"/>
          <w:color w:val="1D2228"/>
          <w:lang w:eastAsia="en-GB"/>
        </w:rPr>
        <w:t>W</w:t>
      </w:r>
      <w:r w:rsidR="00FC728F" w:rsidRPr="00FC728F">
        <w:rPr>
          <w:rFonts w:ascii="Arial" w:eastAsia="Times New Roman" w:hAnsi="Arial" w:cs="Arial"/>
          <w:color w:val="1D2228"/>
          <w:lang w:eastAsia="en-GB"/>
        </w:rPr>
        <w:t>hat narrative</w:t>
      </w:r>
      <w:r>
        <w:rPr>
          <w:rFonts w:ascii="Arial" w:eastAsia="Times New Roman" w:hAnsi="Arial" w:cs="Arial"/>
          <w:color w:val="1D2228"/>
          <w:lang w:eastAsia="en-GB"/>
        </w:rPr>
        <w:t>(s)</w:t>
      </w:r>
      <w:r w:rsidR="00FC728F" w:rsidRPr="00FC728F">
        <w:rPr>
          <w:rFonts w:ascii="Arial" w:eastAsia="Times New Roman" w:hAnsi="Arial" w:cs="Arial"/>
          <w:color w:val="1D2228"/>
          <w:lang w:eastAsia="en-GB"/>
        </w:rPr>
        <w:t xml:space="preserve"> do</w:t>
      </w:r>
      <w:r>
        <w:rPr>
          <w:rFonts w:ascii="Arial" w:eastAsia="Times New Roman" w:hAnsi="Arial" w:cs="Arial"/>
          <w:color w:val="1D2228"/>
          <w:lang w:eastAsia="en-GB"/>
        </w:rPr>
        <w:t>(</w:t>
      </w:r>
      <w:r w:rsidR="00FC728F" w:rsidRPr="00FC728F">
        <w:rPr>
          <w:rFonts w:ascii="Arial" w:eastAsia="Times New Roman" w:hAnsi="Arial" w:cs="Arial"/>
          <w:color w:val="1D2228"/>
          <w:lang w:eastAsia="en-GB"/>
        </w:rPr>
        <w:t>es</w:t>
      </w:r>
      <w:r>
        <w:rPr>
          <w:rFonts w:ascii="Arial" w:eastAsia="Times New Roman" w:hAnsi="Arial" w:cs="Arial"/>
          <w:color w:val="1D2228"/>
          <w:lang w:eastAsia="en-GB"/>
        </w:rPr>
        <w:t>)</w:t>
      </w:r>
      <w:r w:rsidR="00FC728F" w:rsidRPr="00FC728F">
        <w:rPr>
          <w:rFonts w:ascii="Arial" w:eastAsia="Times New Roman" w:hAnsi="Arial" w:cs="Arial"/>
          <w:color w:val="1D2228"/>
          <w:lang w:eastAsia="en-GB"/>
        </w:rPr>
        <w:t xml:space="preserve"> </w:t>
      </w:r>
      <w:r>
        <w:rPr>
          <w:rFonts w:ascii="Arial" w:eastAsia="Times New Roman" w:hAnsi="Arial" w:cs="Arial"/>
          <w:color w:val="1D2228"/>
          <w:lang w:eastAsia="en-GB"/>
        </w:rPr>
        <w:t xml:space="preserve">skills and </w:t>
      </w:r>
      <w:proofErr w:type="spellStart"/>
      <w:r w:rsidR="00FC728F" w:rsidRPr="00FC728F">
        <w:rPr>
          <w:rFonts w:ascii="Arial" w:eastAsia="Times New Roman" w:hAnsi="Arial" w:cs="Arial"/>
          <w:color w:val="1D2228"/>
          <w:lang w:eastAsia="en-GB"/>
        </w:rPr>
        <w:t>AEB</w:t>
      </w:r>
      <w:proofErr w:type="spellEnd"/>
      <w:r w:rsidR="00FC728F" w:rsidRPr="00FC728F">
        <w:rPr>
          <w:rFonts w:ascii="Arial" w:eastAsia="Times New Roman" w:hAnsi="Arial" w:cs="Arial"/>
          <w:color w:val="1D2228"/>
          <w:lang w:eastAsia="en-GB"/>
        </w:rPr>
        <w:t xml:space="preserve"> planning fit into?</w:t>
      </w:r>
    </w:p>
    <w:p w14:paraId="6DFD3140" w14:textId="4E944C33" w:rsidR="00FC728F" w:rsidRPr="00FC728F" w:rsidRDefault="00437C56" w:rsidP="00FC728F">
      <w:pPr>
        <w:numPr>
          <w:ilvl w:val="0"/>
          <w:numId w:val="30"/>
        </w:numPr>
        <w:spacing w:after="120" w:line="276" w:lineRule="auto"/>
        <w:rPr>
          <w:rFonts w:ascii="Arial" w:eastAsia="Times New Roman" w:hAnsi="Arial" w:cs="Arial"/>
          <w:color w:val="1D2228"/>
          <w:lang w:eastAsia="en-GB"/>
        </w:rPr>
      </w:pPr>
      <w:r>
        <w:rPr>
          <w:rFonts w:ascii="Arial" w:eastAsia="Times New Roman" w:hAnsi="Arial" w:cs="Arial"/>
          <w:color w:val="1D2228"/>
          <w:lang w:eastAsia="en-GB"/>
        </w:rPr>
        <w:t>W</w:t>
      </w:r>
      <w:r w:rsidR="00FC728F" w:rsidRPr="00FC728F">
        <w:rPr>
          <w:rFonts w:ascii="Arial" w:eastAsia="Times New Roman" w:hAnsi="Arial" w:cs="Arial"/>
          <w:color w:val="1D2228"/>
          <w:lang w:eastAsia="en-GB"/>
        </w:rPr>
        <w:t xml:space="preserve">hat strategies is the </w:t>
      </w:r>
      <w:proofErr w:type="spellStart"/>
      <w:r w:rsidR="00FC728F" w:rsidRPr="00FC728F">
        <w:rPr>
          <w:rFonts w:ascii="Arial" w:eastAsia="Times New Roman" w:hAnsi="Arial" w:cs="Arial"/>
          <w:color w:val="1D2228"/>
          <w:lang w:eastAsia="en-GB"/>
        </w:rPr>
        <w:t>AEB</w:t>
      </w:r>
      <w:proofErr w:type="spellEnd"/>
      <w:r w:rsidR="00FC728F" w:rsidRPr="00FC728F">
        <w:rPr>
          <w:rFonts w:ascii="Arial" w:eastAsia="Times New Roman" w:hAnsi="Arial" w:cs="Arial"/>
          <w:color w:val="1D2228"/>
          <w:lang w:eastAsia="en-GB"/>
        </w:rPr>
        <w:t xml:space="preserve"> seen to align to: skills, social inclusion / social cohesion, health equality etc?</w:t>
      </w:r>
    </w:p>
    <w:p w14:paraId="25574C8D" w14:textId="64D1593C" w:rsidR="00FC728F" w:rsidRPr="00FC728F" w:rsidRDefault="00437C56" w:rsidP="00FC728F">
      <w:pPr>
        <w:numPr>
          <w:ilvl w:val="0"/>
          <w:numId w:val="30"/>
        </w:numPr>
        <w:spacing w:after="120" w:line="276" w:lineRule="auto"/>
        <w:rPr>
          <w:rFonts w:ascii="Arial" w:eastAsia="Times New Roman" w:hAnsi="Arial" w:cs="Arial"/>
          <w:color w:val="1D2228"/>
          <w:lang w:eastAsia="en-GB"/>
        </w:rPr>
      </w:pPr>
      <w:r>
        <w:rPr>
          <w:rFonts w:ascii="Arial" w:eastAsia="Times New Roman" w:hAnsi="Arial" w:cs="Arial"/>
          <w:color w:val="1D2228"/>
          <w:lang w:eastAsia="en-GB"/>
        </w:rPr>
        <w:t>I</w:t>
      </w:r>
      <w:r w:rsidR="00FC728F" w:rsidRPr="00FC728F">
        <w:rPr>
          <w:rFonts w:ascii="Arial" w:eastAsia="Times New Roman" w:hAnsi="Arial" w:cs="Arial"/>
          <w:color w:val="1D2228"/>
          <w:lang w:eastAsia="en-GB"/>
        </w:rPr>
        <w:t xml:space="preserve">f it aligns to a wider strategy, what is the role of </w:t>
      </w:r>
      <w:proofErr w:type="spellStart"/>
      <w:r w:rsidR="00FC728F" w:rsidRPr="00FC728F">
        <w:rPr>
          <w:rFonts w:ascii="Arial" w:eastAsia="Times New Roman" w:hAnsi="Arial" w:cs="Arial"/>
          <w:color w:val="1D2228"/>
          <w:lang w:eastAsia="en-GB"/>
        </w:rPr>
        <w:t>AEB</w:t>
      </w:r>
      <w:proofErr w:type="spellEnd"/>
      <w:r w:rsidR="00FC728F" w:rsidRPr="00FC728F">
        <w:rPr>
          <w:rFonts w:ascii="Arial" w:eastAsia="Times New Roman" w:hAnsi="Arial" w:cs="Arial"/>
          <w:color w:val="1D2228"/>
          <w:lang w:eastAsia="en-GB"/>
        </w:rPr>
        <w:t xml:space="preserve"> within that strategy?</w:t>
      </w:r>
    </w:p>
    <w:p w14:paraId="21209112" w14:textId="4E2659FB" w:rsidR="00FC728F" w:rsidRPr="00FC728F" w:rsidRDefault="00437C56" w:rsidP="00FC728F">
      <w:pPr>
        <w:numPr>
          <w:ilvl w:val="0"/>
          <w:numId w:val="30"/>
        </w:numPr>
        <w:spacing w:after="120" w:line="276" w:lineRule="auto"/>
        <w:rPr>
          <w:rFonts w:ascii="Arial" w:eastAsia="Times New Roman" w:hAnsi="Arial" w:cs="Arial"/>
          <w:color w:val="1D2228"/>
          <w:lang w:eastAsia="en-GB"/>
        </w:rPr>
      </w:pPr>
      <w:r>
        <w:rPr>
          <w:rFonts w:ascii="Arial" w:eastAsia="Times New Roman" w:hAnsi="Arial" w:cs="Arial"/>
          <w:color w:val="1D2228"/>
          <w:lang w:eastAsia="en-GB"/>
        </w:rPr>
        <w:t>W</w:t>
      </w:r>
      <w:r w:rsidR="00FC728F" w:rsidRPr="00FC728F">
        <w:rPr>
          <w:rFonts w:ascii="Arial" w:eastAsia="Times New Roman" w:hAnsi="Arial" w:cs="Arial"/>
          <w:color w:val="1D2228"/>
          <w:lang w:eastAsia="en-GB"/>
        </w:rPr>
        <w:t>hat definitions are used for skills, A</w:t>
      </w:r>
      <w:r w:rsidR="0009342D">
        <w:rPr>
          <w:rFonts w:ascii="Arial" w:eastAsia="Times New Roman" w:hAnsi="Arial" w:cs="Arial"/>
          <w:color w:val="1D2228"/>
          <w:lang w:eastAsia="en-GB"/>
        </w:rPr>
        <w:t xml:space="preserve">dult </w:t>
      </w:r>
      <w:r w:rsidR="00FC728F" w:rsidRPr="00FC728F">
        <w:rPr>
          <w:rFonts w:ascii="Arial" w:eastAsia="Times New Roman" w:hAnsi="Arial" w:cs="Arial"/>
          <w:color w:val="1D2228"/>
          <w:lang w:eastAsia="en-GB"/>
        </w:rPr>
        <w:t>E</w:t>
      </w:r>
      <w:r w:rsidR="0009342D">
        <w:rPr>
          <w:rFonts w:ascii="Arial" w:eastAsia="Times New Roman" w:hAnsi="Arial" w:cs="Arial"/>
          <w:color w:val="1D2228"/>
          <w:lang w:eastAsia="en-GB"/>
        </w:rPr>
        <w:t>ducation</w:t>
      </w:r>
      <w:r w:rsidR="00FC728F" w:rsidRPr="00FC728F">
        <w:rPr>
          <w:rFonts w:ascii="Arial" w:eastAsia="Times New Roman" w:hAnsi="Arial" w:cs="Arial"/>
          <w:color w:val="1D2228"/>
          <w:lang w:eastAsia="en-GB"/>
        </w:rPr>
        <w:t>, community learning, basic skills etc?</w:t>
      </w:r>
    </w:p>
    <w:p w14:paraId="2E7E6786" w14:textId="0E39A435" w:rsidR="00FC728F" w:rsidRPr="00FC728F" w:rsidRDefault="00437C56" w:rsidP="00AC7DB1">
      <w:pPr>
        <w:numPr>
          <w:ilvl w:val="0"/>
          <w:numId w:val="30"/>
        </w:numPr>
        <w:spacing w:after="120" w:line="276" w:lineRule="auto"/>
        <w:rPr>
          <w:rFonts w:ascii="Arial" w:eastAsia="Times New Roman" w:hAnsi="Arial" w:cs="Arial"/>
          <w:color w:val="1D2228"/>
          <w:lang w:eastAsia="en-GB"/>
        </w:rPr>
      </w:pPr>
      <w:r>
        <w:rPr>
          <w:rFonts w:ascii="Arial" w:eastAsia="Times New Roman" w:hAnsi="Arial" w:cs="Arial"/>
          <w:color w:val="1D2228"/>
          <w:lang w:eastAsia="en-GB"/>
        </w:rPr>
        <w:t>W</w:t>
      </w:r>
      <w:r w:rsidR="00FC728F" w:rsidRPr="00FC728F">
        <w:rPr>
          <w:rFonts w:ascii="Arial" w:eastAsia="Times New Roman" w:hAnsi="Arial" w:cs="Arial"/>
          <w:color w:val="1D2228"/>
          <w:lang w:eastAsia="en-GB"/>
        </w:rPr>
        <w:t>hat other accepted concepts are used: progression, achievement, attainment, provision, provider, prime contractor, sub-contractor?</w:t>
      </w:r>
    </w:p>
    <w:p w14:paraId="7C3D472A" w14:textId="77777777" w:rsidR="00FC728F" w:rsidRDefault="00FC728F" w:rsidP="00FC728F">
      <w:pPr>
        <w:spacing w:after="120" w:line="276" w:lineRule="auto"/>
        <w:rPr>
          <w:rFonts w:ascii="Arial" w:eastAsia="Times New Roman" w:hAnsi="Arial" w:cs="Arial"/>
          <w:b/>
          <w:bCs/>
          <w:color w:val="1D2228"/>
          <w:lang w:eastAsia="en-GB"/>
        </w:rPr>
      </w:pPr>
    </w:p>
    <w:p w14:paraId="4B185BDE" w14:textId="4EC52585" w:rsidR="00FC728F" w:rsidRPr="00FC728F" w:rsidRDefault="00FC728F" w:rsidP="00FC728F">
      <w:pPr>
        <w:spacing w:after="120" w:line="276" w:lineRule="auto"/>
        <w:rPr>
          <w:rFonts w:ascii="Arial" w:eastAsia="Times New Roman" w:hAnsi="Arial" w:cs="Arial"/>
          <w:b/>
          <w:bCs/>
          <w:color w:val="1D2228"/>
          <w:lang w:eastAsia="en-GB"/>
        </w:rPr>
      </w:pPr>
      <w:r w:rsidRPr="00FC728F">
        <w:rPr>
          <w:rFonts w:ascii="Arial" w:eastAsia="Times New Roman" w:hAnsi="Arial" w:cs="Arial"/>
          <w:b/>
          <w:bCs/>
          <w:color w:val="1D2228"/>
          <w:lang w:eastAsia="en-GB"/>
        </w:rPr>
        <w:t>Approaches</w:t>
      </w:r>
    </w:p>
    <w:p w14:paraId="305297C0" w14:textId="405FBC72" w:rsidR="00FC728F" w:rsidRPr="00FC728F" w:rsidRDefault="00437C56" w:rsidP="00FC728F">
      <w:pPr>
        <w:numPr>
          <w:ilvl w:val="0"/>
          <w:numId w:val="31"/>
        </w:numPr>
        <w:spacing w:after="120" w:line="276" w:lineRule="auto"/>
        <w:rPr>
          <w:rFonts w:ascii="Arial" w:eastAsia="Times New Roman" w:hAnsi="Arial" w:cs="Arial"/>
          <w:color w:val="1D2228"/>
          <w:lang w:eastAsia="en-GB"/>
        </w:rPr>
      </w:pPr>
      <w:r>
        <w:rPr>
          <w:rFonts w:ascii="Arial" w:eastAsia="Times New Roman" w:hAnsi="Arial" w:cs="Arial"/>
          <w:color w:val="1D2228"/>
          <w:lang w:eastAsia="en-GB"/>
        </w:rPr>
        <w:t>W</w:t>
      </w:r>
      <w:r w:rsidR="00FC728F" w:rsidRPr="00FC728F">
        <w:rPr>
          <w:rFonts w:ascii="Arial" w:eastAsia="Times New Roman" w:hAnsi="Arial" w:cs="Arial"/>
          <w:color w:val="1D2228"/>
          <w:lang w:eastAsia="en-GB"/>
        </w:rPr>
        <w:t xml:space="preserve">hat is the operational model that drives the local approach? </w:t>
      </w:r>
      <w:r>
        <w:rPr>
          <w:rFonts w:ascii="Arial" w:eastAsia="Times New Roman" w:hAnsi="Arial" w:cs="Arial"/>
          <w:color w:val="1D2228"/>
          <w:lang w:eastAsia="en-GB"/>
        </w:rPr>
        <w:t>(</w:t>
      </w:r>
      <w:r w:rsidR="00FC728F" w:rsidRPr="00FC728F">
        <w:rPr>
          <w:rFonts w:ascii="Arial" w:eastAsia="Times New Roman" w:hAnsi="Arial" w:cs="Arial"/>
          <w:color w:val="1D2228"/>
          <w:lang w:eastAsia="en-GB"/>
        </w:rPr>
        <w:t>Market-driven? Collaborative? Mixture of both?</w:t>
      </w:r>
      <w:r>
        <w:rPr>
          <w:rFonts w:ascii="Arial" w:eastAsia="Times New Roman" w:hAnsi="Arial" w:cs="Arial"/>
          <w:color w:val="1D2228"/>
          <w:lang w:eastAsia="en-GB"/>
        </w:rPr>
        <w:t>)</w:t>
      </w:r>
    </w:p>
    <w:p w14:paraId="6B94720B" w14:textId="630B026C" w:rsidR="00FC728F" w:rsidRPr="00FC728F" w:rsidRDefault="00437C56" w:rsidP="00FC728F">
      <w:pPr>
        <w:numPr>
          <w:ilvl w:val="0"/>
          <w:numId w:val="31"/>
        </w:numPr>
        <w:spacing w:after="120" w:line="276" w:lineRule="auto"/>
        <w:rPr>
          <w:rFonts w:ascii="Arial" w:eastAsia="Times New Roman" w:hAnsi="Arial" w:cs="Arial"/>
          <w:color w:val="1D2228"/>
          <w:lang w:eastAsia="en-GB"/>
        </w:rPr>
      </w:pPr>
      <w:r>
        <w:rPr>
          <w:rFonts w:ascii="Arial" w:eastAsia="Times New Roman" w:hAnsi="Arial" w:cs="Arial"/>
          <w:color w:val="1D2228"/>
          <w:lang w:eastAsia="en-GB"/>
        </w:rPr>
        <w:t>H</w:t>
      </w:r>
      <w:r w:rsidR="00FC728F" w:rsidRPr="00FC728F">
        <w:rPr>
          <w:rFonts w:ascii="Arial" w:eastAsia="Times New Roman" w:hAnsi="Arial" w:cs="Arial"/>
          <w:color w:val="1D2228"/>
          <w:lang w:eastAsia="en-GB"/>
        </w:rPr>
        <w:t>ow is the local provider base defined? Is there prime/sub-contractor model? What is the role of smaller organisations and those for whom learning is not their key purpose?</w:t>
      </w:r>
    </w:p>
    <w:p w14:paraId="38E81345" w14:textId="28832562" w:rsidR="00FC728F" w:rsidRPr="00FC728F" w:rsidRDefault="00437C56" w:rsidP="00FC728F">
      <w:pPr>
        <w:numPr>
          <w:ilvl w:val="0"/>
          <w:numId w:val="31"/>
        </w:numPr>
        <w:spacing w:after="120" w:line="276" w:lineRule="auto"/>
        <w:rPr>
          <w:rFonts w:ascii="Arial" w:eastAsia="Times New Roman" w:hAnsi="Arial" w:cs="Arial"/>
          <w:color w:val="1D2228"/>
          <w:lang w:eastAsia="en-GB"/>
        </w:rPr>
      </w:pPr>
      <w:r>
        <w:rPr>
          <w:rFonts w:ascii="Arial" w:eastAsia="Times New Roman" w:hAnsi="Arial" w:cs="Arial"/>
          <w:color w:val="1D2228"/>
          <w:lang w:eastAsia="en-GB"/>
        </w:rPr>
        <w:t>A</w:t>
      </w:r>
      <w:r w:rsidRPr="00FC728F">
        <w:rPr>
          <w:rFonts w:ascii="Arial" w:eastAsia="Times New Roman" w:hAnsi="Arial" w:cs="Arial"/>
          <w:color w:val="1D2228"/>
          <w:lang w:eastAsia="en-GB"/>
        </w:rPr>
        <w:t>re</w:t>
      </w:r>
      <w:r w:rsidR="00FC728F" w:rsidRPr="00FC728F">
        <w:rPr>
          <w:rFonts w:ascii="Arial" w:eastAsia="Times New Roman" w:hAnsi="Arial" w:cs="Arial"/>
          <w:color w:val="1D2228"/>
          <w:lang w:eastAsia="en-GB"/>
        </w:rPr>
        <w:t xml:space="preserve"> there opportunities to co-fund across siloes (for example, health / wellbeing)?</w:t>
      </w:r>
    </w:p>
    <w:p w14:paraId="3A3820E6" w14:textId="44452F2D" w:rsidR="00FC728F" w:rsidRPr="00FC728F" w:rsidRDefault="00437C56" w:rsidP="00FC728F">
      <w:pPr>
        <w:numPr>
          <w:ilvl w:val="0"/>
          <w:numId w:val="31"/>
        </w:numPr>
        <w:spacing w:after="120" w:line="276" w:lineRule="auto"/>
        <w:rPr>
          <w:rFonts w:ascii="Arial" w:eastAsia="Times New Roman" w:hAnsi="Arial" w:cs="Arial"/>
          <w:color w:val="1D2228"/>
          <w:lang w:eastAsia="en-GB"/>
        </w:rPr>
      </w:pPr>
      <w:r>
        <w:rPr>
          <w:rFonts w:ascii="Arial" w:eastAsia="Times New Roman" w:hAnsi="Arial" w:cs="Arial"/>
          <w:color w:val="1D2228"/>
          <w:lang w:eastAsia="en-GB"/>
        </w:rPr>
        <w:t>T</w:t>
      </w:r>
      <w:r w:rsidR="00FC728F" w:rsidRPr="00FC728F">
        <w:rPr>
          <w:rFonts w:ascii="Arial" w:eastAsia="Times New Roman" w:hAnsi="Arial" w:cs="Arial"/>
          <w:color w:val="1D2228"/>
          <w:lang w:eastAsia="en-GB"/>
        </w:rPr>
        <w:t>o what extent does the delivery of national entitlements ‘skew’ or destabilise provision?</w:t>
      </w:r>
    </w:p>
    <w:p w14:paraId="00F52BB2" w14:textId="77777777" w:rsidR="00FC728F" w:rsidRDefault="00FC728F" w:rsidP="00FC728F">
      <w:pPr>
        <w:spacing w:after="120" w:line="276" w:lineRule="auto"/>
        <w:rPr>
          <w:rFonts w:ascii="Arial" w:eastAsia="Times New Roman" w:hAnsi="Arial" w:cs="Arial"/>
          <w:color w:val="1D2228"/>
          <w:lang w:eastAsia="en-GB"/>
        </w:rPr>
      </w:pPr>
    </w:p>
    <w:p w14:paraId="29535D6E" w14:textId="77777777" w:rsidR="00FC728F" w:rsidRDefault="00FC728F" w:rsidP="00FC728F">
      <w:pPr>
        <w:spacing w:after="120" w:line="276" w:lineRule="auto"/>
        <w:rPr>
          <w:rFonts w:ascii="Arial" w:eastAsia="Times New Roman" w:hAnsi="Arial" w:cs="Arial"/>
          <w:color w:val="1D2228"/>
          <w:lang w:eastAsia="en-GB"/>
        </w:rPr>
      </w:pPr>
    </w:p>
    <w:p w14:paraId="3D814AF0" w14:textId="1C788F44" w:rsidR="00FC728F" w:rsidRDefault="00FC728F" w:rsidP="00FC728F">
      <w:pPr>
        <w:spacing w:after="120" w:line="276" w:lineRule="auto"/>
        <w:rPr>
          <w:rFonts w:ascii="Arial" w:eastAsia="Times New Roman" w:hAnsi="Arial" w:cs="Arial"/>
          <w:b/>
          <w:bCs/>
          <w:color w:val="1D2228"/>
          <w:lang w:eastAsia="en-GB"/>
        </w:rPr>
      </w:pPr>
      <w:r w:rsidRPr="00FC728F">
        <w:rPr>
          <w:rFonts w:ascii="Arial" w:eastAsia="Times New Roman" w:hAnsi="Arial" w:cs="Arial"/>
          <w:b/>
          <w:bCs/>
          <w:color w:val="1D2228"/>
          <w:lang w:eastAsia="en-GB"/>
        </w:rPr>
        <w:t>Evaluation</w:t>
      </w:r>
    </w:p>
    <w:p w14:paraId="52B16428" w14:textId="1A19E99D" w:rsidR="00437C56" w:rsidRPr="00437C56" w:rsidRDefault="00437C56" w:rsidP="00437C56">
      <w:pPr>
        <w:numPr>
          <w:ilvl w:val="0"/>
          <w:numId w:val="34"/>
        </w:numPr>
        <w:spacing w:after="120" w:line="276" w:lineRule="auto"/>
        <w:rPr>
          <w:rFonts w:ascii="Arial" w:eastAsia="Times New Roman" w:hAnsi="Arial" w:cs="Arial"/>
          <w:color w:val="1D2228"/>
          <w:lang w:eastAsia="en-GB"/>
        </w:rPr>
      </w:pPr>
      <w:r>
        <w:rPr>
          <w:rFonts w:ascii="Arial" w:eastAsia="Times New Roman" w:hAnsi="Arial" w:cs="Arial"/>
          <w:color w:val="1D2228"/>
          <w:lang w:val="en-US" w:eastAsia="en-GB"/>
        </w:rPr>
        <w:t>I</w:t>
      </w:r>
      <w:r w:rsidRPr="00437C56">
        <w:rPr>
          <w:rFonts w:ascii="Arial" w:eastAsia="Times New Roman" w:hAnsi="Arial" w:cs="Arial"/>
          <w:color w:val="1D2228"/>
          <w:lang w:val="en-US" w:eastAsia="en-GB"/>
        </w:rPr>
        <w:t xml:space="preserve">s there an evaluation strategy in the public </w:t>
      </w:r>
      <w:r w:rsidRPr="00437C56">
        <w:rPr>
          <w:rFonts w:ascii="Arial" w:eastAsia="Times New Roman" w:hAnsi="Arial" w:cs="Arial"/>
          <w:color w:val="1D2228"/>
          <w:lang w:val="en-US" w:eastAsia="en-GB"/>
        </w:rPr>
        <w:t>domain?</w:t>
      </w:r>
      <w:r w:rsidRPr="00437C56">
        <w:rPr>
          <w:rFonts w:ascii="Arial" w:eastAsia="Times New Roman" w:hAnsi="Arial" w:cs="Arial"/>
          <w:color w:val="1D2228"/>
          <w:lang w:val="en-US" w:eastAsia="en-GB"/>
        </w:rPr>
        <w:t xml:space="preserve"> If </w:t>
      </w:r>
      <w:r w:rsidRPr="00437C56">
        <w:rPr>
          <w:rFonts w:ascii="Arial" w:eastAsia="Times New Roman" w:hAnsi="Arial" w:cs="Arial"/>
          <w:color w:val="1D2228"/>
          <w:lang w:val="en-US" w:eastAsia="en-GB"/>
        </w:rPr>
        <w:t>so,</w:t>
      </w:r>
      <w:r w:rsidRPr="00437C56">
        <w:rPr>
          <w:rFonts w:ascii="Arial" w:eastAsia="Times New Roman" w:hAnsi="Arial" w:cs="Arial"/>
          <w:color w:val="1D2228"/>
          <w:lang w:val="en-US" w:eastAsia="en-GB"/>
        </w:rPr>
        <w:t xml:space="preserve"> how does it relate to </w:t>
      </w:r>
      <w:r>
        <w:rPr>
          <w:rFonts w:ascii="Arial" w:eastAsia="Times New Roman" w:hAnsi="Arial" w:cs="Arial"/>
          <w:color w:val="1D2228"/>
          <w:lang w:val="en-US" w:eastAsia="en-GB"/>
        </w:rPr>
        <w:t xml:space="preserve">the </w:t>
      </w:r>
      <w:r w:rsidRPr="00437C56">
        <w:rPr>
          <w:rFonts w:ascii="Arial" w:eastAsia="Times New Roman" w:hAnsi="Arial" w:cs="Arial"/>
          <w:color w:val="1D2228"/>
          <w:lang w:val="en-US" w:eastAsia="en-GB"/>
        </w:rPr>
        <w:t>strategy?</w:t>
      </w:r>
    </w:p>
    <w:p w14:paraId="7A5C2BD8" w14:textId="7858AC33" w:rsidR="00437C56" w:rsidRPr="00437C56" w:rsidRDefault="00437C56" w:rsidP="00437C56">
      <w:pPr>
        <w:numPr>
          <w:ilvl w:val="0"/>
          <w:numId w:val="34"/>
        </w:numPr>
        <w:spacing w:after="120" w:line="276" w:lineRule="auto"/>
        <w:rPr>
          <w:rFonts w:ascii="Arial" w:eastAsia="Times New Roman" w:hAnsi="Arial" w:cs="Arial"/>
          <w:color w:val="1D2228"/>
          <w:lang w:eastAsia="en-GB"/>
        </w:rPr>
      </w:pPr>
      <w:r>
        <w:rPr>
          <w:rFonts w:ascii="Arial" w:eastAsia="Times New Roman" w:hAnsi="Arial" w:cs="Arial"/>
          <w:color w:val="1D2228"/>
          <w:lang w:val="en-US" w:eastAsia="en-GB"/>
        </w:rPr>
        <w:t>T</w:t>
      </w:r>
      <w:r w:rsidRPr="00437C56">
        <w:rPr>
          <w:rFonts w:ascii="Arial" w:eastAsia="Times New Roman" w:hAnsi="Arial" w:cs="Arial"/>
          <w:color w:val="1D2228"/>
          <w:lang w:val="en-US" w:eastAsia="en-GB"/>
        </w:rPr>
        <w:t xml:space="preserve">o what extent are outcome measures being used alongside outputs such as </w:t>
      </w:r>
      <w:r w:rsidRPr="00437C56">
        <w:rPr>
          <w:rFonts w:ascii="Arial" w:eastAsia="Times New Roman" w:hAnsi="Arial" w:cs="Arial"/>
          <w:color w:val="1D2228"/>
          <w:lang w:val="en-US" w:eastAsia="en-GB"/>
        </w:rPr>
        <w:t>qual</w:t>
      </w:r>
      <w:r>
        <w:rPr>
          <w:rFonts w:ascii="Arial" w:eastAsia="Times New Roman" w:hAnsi="Arial" w:cs="Arial"/>
          <w:color w:val="1D2228"/>
          <w:lang w:val="en-US" w:eastAsia="en-GB"/>
        </w:rPr>
        <w:t>ification</w:t>
      </w:r>
      <w:r w:rsidRPr="00437C56">
        <w:rPr>
          <w:rFonts w:ascii="Arial" w:eastAsia="Times New Roman" w:hAnsi="Arial" w:cs="Arial"/>
          <w:color w:val="1D2228"/>
          <w:lang w:val="en-US" w:eastAsia="en-GB"/>
        </w:rPr>
        <w:t>s?</w:t>
      </w:r>
    </w:p>
    <w:p w14:paraId="3D0AEB17" w14:textId="1817F4AD" w:rsidR="00437C56" w:rsidRPr="00437C56" w:rsidRDefault="00437C56" w:rsidP="00437C56">
      <w:pPr>
        <w:numPr>
          <w:ilvl w:val="0"/>
          <w:numId w:val="34"/>
        </w:numPr>
        <w:spacing w:after="120" w:line="276" w:lineRule="auto"/>
        <w:rPr>
          <w:rFonts w:ascii="Arial" w:eastAsia="Times New Roman" w:hAnsi="Arial" w:cs="Arial"/>
          <w:color w:val="1D2228"/>
          <w:lang w:eastAsia="en-GB"/>
        </w:rPr>
      </w:pPr>
      <w:r>
        <w:rPr>
          <w:rFonts w:ascii="Arial" w:eastAsia="Times New Roman" w:hAnsi="Arial" w:cs="Arial"/>
          <w:color w:val="1D2228"/>
          <w:lang w:val="en-US" w:eastAsia="en-GB"/>
        </w:rPr>
        <w:t>A</w:t>
      </w:r>
      <w:r w:rsidRPr="00437C56">
        <w:rPr>
          <w:rFonts w:ascii="Arial" w:eastAsia="Times New Roman" w:hAnsi="Arial" w:cs="Arial"/>
          <w:color w:val="1D2228"/>
          <w:lang w:val="en-US" w:eastAsia="en-GB"/>
        </w:rPr>
        <w:t xml:space="preserve">re local metrics and measures being designed or are they buying into a national </w:t>
      </w:r>
      <w:r w:rsidRPr="00437C56">
        <w:rPr>
          <w:rFonts w:ascii="Arial" w:eastAsia="Times New Roman" w:hAnsi="Arial" w:cs="Arial"/>
          <w:color w:val="1D2228"/>
          <w:lang w:val="en-US" w:eastAsia="en-GB"/>
        </w:rPr>
        <w:t>system?</w:t>
      </w:r>
    </w:p>
    <w:p w14:paraId="66E9A14D" w14:textId="371A476C" w:rsidR="00437C56" w:rsidRPr="00437C56" w:rsidRDefault="00437C56" w:rsidP="00437C56">
      <w:pPr>
        <w:numPr>
          <w:ilvl w:val="0"/>
          <w:numId w:val="34"/>
        </w:numPr>
        <w:spacing w:after="120" w:line="276" w:lineRule="auto"/>
        <w:rPr>
          <w:rFonts w:ascii="Arial" w:eastAsia="Times New Roman" w:hAnsi="Arial" w:cs="Arial"/>
          <w:color w:val="1D2228"/>
          <w:lang w:eastAsia="en-GB"/>
        </w:rPr>
      </w:pPr>
      <w:r>
        <w:rPr>
          <w:rFonts w:ascii="Arial" w:eastAsia="Times New Roman" w:hAnsi="Arial" w:cs="Arial"/>
          <w:color w:val="1D2228"/>
          <w:lang w:val="en-US" w:eastAsia="en-GB"/>
        </w:rPr>
        <w:t>H</w:t>
      </w:r>
      <w:r w:rsidRPr="00437C56">
        <w:rPr>
          <w:rFonts w:ascii="Arial" w:eastAsia="Times New Roman" w:hAnsi="Arial" w:cs="Arial"/>
          <w:color w:val="1D2228"/>
          <w:lang w:val="en-US" w:eastAsia="en-GB"/>
        </w:rPr>
        <w:t xml:space="preserve">ow do the measures relate to local data on need and </w:t>
      </w:r>
      <w:r w:rsidRPr="00437C56">
        <w:rPr>
          <w:rFonts w:ascii="Arial" w:eastAsia="Times New Roman" w:hAnsi="Arial" w:cs="Arial"/>
          <w:color w:val="1D2228"/>
          <w:lang w:val="en-US" w:eastAsia="en-GB"/>
        </w:rPr>
        <w:t>demand?</w:t>
      </w:r>
    </w:p>
    <w:p w14:paraId="2BDDFFE9" w14:textId="718F8A6B" w:rsidR="00437C56" w:rsidRPr="00437C56" w:rsidRDefault="00437C56" w:rsidP="00437C56">
      <w:pPr>
        <w:numPr>
          <w:ilvl w:val="0"/>
          <w:numId w:val="34"/>
        </w:numPr>
        <w:spacing w:after="120" w:line="276" w:lineRule="auto"/>
        <w:rPr>
          <w:rFonts w:ascii="Arial" w:eastAsia="Times New Roman" w:hAnsi="Arial" w:cs="Arial"/>
          <w:color w:val="1D2228"/>
          <w:lang w:eastAsia="en-GB"/>
        </w:rPr>
      </w:pPr>
      <w:r>
        <w:rPr>
          <w:rFonts w:ascii="Arial" w:eastAsia="Times New Roman" w:hAnsi="Arial" w:cs="Arial"/>
          <w:color w:val="1D2228"/>
          <w:lang w:val="en-US" w:eastAsia="en-GB"/>
        </w:rPr>
        <w:t>H</w:t>
      </w:r>
      <w:r w:rsidRPr="00437C56">
        <w:rPr>
          <w:rFonts w:ascii="Arial" w:eastAsia="Times New Roman" w:hAnsi="Arial" w:cs="Arial"/>
          <w:color w:val="1D2228"/>
          <w:lang w:val="en-US" w:eastAsia="en-GB"/>
        </w:rPr>
        <w:t xml:space="preserve">ow will evaluation influence future planning and what are the democratic mechanisms for </w:t>
      </w:r>
      <w:r w:rsidRPr="00437C56">
        <w:rPr>
          <w:rFonts w:ascii="Arial" w:eastAsia="Times New Roman" w:hAnsi="Arial" w:cs="Arial"/>
          <w:color w:val="1D2228"/>
          <w:lang w:val="en-US" w:eastAsia="en-GB"/>
        </w:rPr>
        <w:t>this?</w:t>
      </w:r>
    </w:p>
    <w:p w14:paraId="2966C06C" w14:textId="65F0ACF9" w:rsidR="00FC728F" w:rsidRDefault="00FC728F" w:rsidP="00FC728F">
      <w:pPr>
        <w:spacing w:after="120" w:line="276" w:lineRule="auto"/>
        <w:rPr>
          <w:rFonts w:ascii="Arial" w:eastAsia="Times New Roman" w:hAnsi="Arial" w:cs="Arial"/>
          <w:color w:val="1D2228"/>
          <w:lang w:eastAsia="en-GB"/>
        </w:rPr>
      </w:pPr>
    </w:p>
    <w:p w14:paraId="060C5222" w14:textId="77777777" w:rsidR="00645BEA" w:rsidRPr="00401783" w:rsidRDefault="00645BEA" w:rsidP="00645BEA">
      <w:pPr>
        <w:rPr>
          <w:rFonts w:ascii="Arial" w:hAnsi="Arial" w:cs="Arial"/>
          <w:b/>
          <w:bCs/>
        </w:rPr>
      </w:pPr>
    </w:p>
    <w:p w14:paraId="3DB2260E" w14:textId="07E04AAA" w:rsidR="006A4982" w:rsidRDefault="006A4982" w:rsidP="00401783">
      <w:pPr>
        <w:contextualSpacing/>
        <w:jc w:val="right"/>
        <w:rPr>
          <w:rFonts w:ascii="Arial" w:hAnsi="Arial" w:cs="Arial"/>
          <w:lang w:val="en-US"/>
        </w:rPr>
      </w:pPr>
    </w:p>
    <w:tbl>
      <w:tblPr>
        <w:tblStyle w:val="TableGrid"/>
        <w:tblW w:w="0" w:type="auto"/>
        <w:tblLook w:val="04A0" w:firstRow="1" w:lastRow="0" w:firstColumn="1" w:lastColumn="0" w:noHBand="0" w:noVBand="1"/>
      </w:tblPr>
      <w:tblGrid>
        <w:gridCol w:w="9016"/>
      </w:tblGrid>
      <w:tr w:rsidR="00437C56" w:rsidRPr="00437C56" w14:paraId="415D35CD" w14:textId="77777777" w:rsidTr="00437C56">
        <w:tc>
          <w:tcPr>
            <w:tcW w:w="9016" w:type="dxa"/>
          </w:tcPr>
          <w:p w14:paraId="644E7BBC" w14:textId="77777777" w:rsidR="00437C56" w:rsidRPr="00437C56" w:rsidRDefault="00437C56" w:rsidP="00437C56">
            <w:pPr>
              <w:spacing w:after="120" w:line="276" w:lineRule="auto"/>
              <w:rPr>
                <w:rFonts w:ascii="Arial" w:eastAsia="Times New Roman" w:hAnsi="Arial" w:cs="Arial"/>
                <w:b/>
                <w:bCs/>
                <w:color w:val="1D2228"/>
                <w:u w:val="single"/>
                <w:lang w:eastAsia="en-GB"/>
              </w:rPr>
            </w:pPr>
          </w:p>
          <w:p w14:paraId="2CEC82B1" w14:textId="6B382774" w:rsidR="00437C56" w:rsidRPr="00437C56" w:rsidRDefault="00437C56" w:rsidP="00437C56">
            <w:pPr>
              <w:spacing w:after="120" w:line="276" w:lineRule="auto"/>
              <w:rPr>
                <w:rFonts w:ascii="Arial" w:eastAsia="Times New Roman" w:hAnsi="Arial" w:cs="Arial"/>
                <w:b/>
                <w:bCs/>
                <w:color w:val="1D2228"/>
                <w:u w:val="single"/>
                <w:lang w:eastAsia="en-GB"/>
              </w:rPr>
            </w:pPr>
            <w:r w:rsidRPr="00437C56">
              <w:rPr>
                <w:rFonts w:ascii="Arial" w:eastAsia="Times New Roman" w:hAnsi="Arial" w:cs="Arial"/>
                <w:b/>
                <w:bCs/>
                <w:color w:val="1D2228"/>
                <w:u w:val="single"/>
                <w:lang w:eastAsia="en-GB"/>
              </w:rPr>
              <w:t>Areas for exploration at the Impact Forum?</w:t>
            </w:r>
          </w:p>
          <w:p w14:paraId="085E8C35" w14:textId="77777777" w:rsidR="00437C56" w:rsidRPr="00437C56" w:rsidRDefault="00437C56" w:rsidP="00437C56">
            <w:pPr>
              <w:spacing w:after="120" w:line="276" w:lineRule="auto"/>
              <w:rPr>
                <w:rFonts w:ascii="Arial" w:eastAsia="Times New Roman" w:hAnsi="Arial" w:cs="Arial"/>
                <w:b/>
                <w:bCs/>
                <w:color w:val="1D2228"/>
                <w:lang w:eastAsia="en-GB"/>
              </w:rPr>
            </w:pPr>
          </w:p>
          <w:p w14:paraId="2E3580CE" w14:textId="77777777" w:rsidR="00437C56" w:rsidRPr="00437C56" w:rsidRDefault="00437C56" w:rsidP="00437C56">
            <w:pPr>
              <w:pStyle w:val="ListParagraph"/>
              <w:numPr>
                <w:ilvl w:val="0"/>
                <w:numId w:val="33"/>
              </w:numPr>
              <w:spacing w:after="120" w:line="276" w:lineRule="auto"/>
              <w:rPr>
                <w:rFonts w:ascii="Arial" w:eastAsia="Times New Roman" w:hAnsi="Arial" w:cs="Arial"/>
                <w:b/>
                <w:bCs/>
                <w:color w:val="1D2228"/>
                <w:lang w:eastAsia="en-GB"/>
              </w:rPr>
            </w:pPr>
            <w:r w:rsidRPr="00437C56">
              <w:rPr>
                <w:rFonts w:ascii="Arial" w:eastAsia="Times New Roman" w:hAnsi="Arial" w:cs="Arial"/>
                <w:b/>
                <w:bCs/>
                <w:color w:val="1D2228"/>
                <w:lang w:eastAsia="en-GB"/>
              </w:rPr>
              <w:t>What other questions should we be asking?</w:t>
            </w:r>
          </w:p>
          <w:p w14:paraId="559B377A" w14:textId="77777777" w:rsidR="00437C56" w:rsidRPr="00437C56" w:rsidRDefault="00437C56" w:rsidP="00437C56">
            <w:pPr>
              <w:spacing w:after="120" w:line="276" w:lineRule="auto"/>
              <w:rPr>
                <w:rFonts w:ascii="Arial" w:eastAsia="Times New Roman" w:hAnsi="Arial" w:cs="Arial"/>
                <w:b/>
                <w:bCs/>
                <w:color w:val="1D2228"/>
                <w:lang w:eastAsia="en-GB"/>
              </w:rPr>
            </w:pPr>
          </w:p>
          <w:p w14:paraId="3EAC1897" w14:textId="77777777" w:rsidR="00437C56" w:rsidRPr="00437C56" w:rsidRDefault="00437C56" w:rsidP="00437C56">
            <w:pPr>
              <w:pStyle w:val="ListParagraph"/>
              <w:numPr>
                <w:ilvl w:val="0"/>
                <w:numId w:val="33"/>
              </w:numPr>
              <w:spacing w:after="120" w:line="276" w:lineRule="auto"/>
              <w:rPr>
                <w:rFonts w:ascii="Arial" w:eastAsia="Times New Roman" w:hAnsi="Arial" w:cs="Arial"/>
                <w:b/>
                <w:bCs/>
                <w:color w:val="1D2228"/>
                <w:lang w:eastAsia="en-GB"/>
              </w:rPr>
            </w:pPr>
            <w:r w:rsidRPr="00437C56">
              <w:rPr>
                <w:rFonts w:ascii="Arial" w:eastAsia="Times New Roman" w:hAnsi="Arial" w:cs="Arial"/>
                <w:b/>
                <w:bCs/>
                <w:color w:val="1D2228"/>
                <w:lang w:eastAsia="en-GB"/>
              </w:rPr>
              <w:t xml:space="preserve">How should these questions be best presented? </w:t>
            </w:r>
          </w:p>
          <w:p w14:paraId="1C6DF503" w14:textId="77777777" w:rsidR="00437C56" w:rsidRPr="00437C56" w:rsidRDefault="00437C56" w:rsidP="00401783">
            <w:pPr>
              <w:contextualSpacing/>
              <w:jc w:val="right"/>
              <w:rPr>
                <w:rFonts w:ascii="Arial" w:hAnsi="Arial" w:cs="Arial"/>
                <w:b/>
                <w:bCs/>
              </w:rPr>
            </w:pPr>
          </w:p>
        </w:tc>
      </w:tr>
    </w:tbl>
    <w:p w14:paraId="350A63A5" w14:textId="429D1EAB" w:rsidR="00846B57" w:rsidRDefault="00846B57" w:rsidP="00401783">
      <w:pPr>
        <w:contextualSpacing/>
        <w:jc w:val="right"/>
        <w:rPr>
          <w:rFonts w:ascii="Arial" w:hAnsi="Arial" w:cs="Arial"/>
          <w:b/>
          <w:bCs/>
        </w:rPr>
      </w:pPr>
    </w:p>
    <w:p w14:paraId="20AE67D4" w14:textId="5DD20475" w:rsidR="00437C56" w:rsidRDefault="00437C56" w:rsidP="00401783">
      <w:pPr>
        <w:contextualSpacing/>
        <w:jc w:val="right"/>
        <w:rPr>
          <w:rFonts w:ascii="Arial" w:hAnsi="Arial" w:cs="Arial"/>
          <w:b/>
          <w:bCs/>
        </w:rPr>
      </w:pPr>
    </w:p>
    <w:p w14:paraId="5D01F18A" w14:textId="2E9C30B2" w:rsidR="00437C56" w:rsidRDefault="00437C56" w:rsidP="00401783">
      <w:pPr>
        <w:contextualSpacing/>
        <w:jc w:val="right"/>
        <w:rPr>
          <w:rFonts w:ascii="Arial" w:hAnsi="Arial" w:cs="Arial"/>
          <w:b/>
          <w:bCs/>
        </w:rPr>
      </w:pPr>
    </w:p>
    <w:p w14:paraId="3904F647" w14:textId="0E68E4ED" w:rsidR="00437C56" w:rsidRPr="00846B57" w:rsidRDefault="00437C56" w:rsidP="00401783">
      <w:pPr>
        <w:contextualSpacing/>
        <w:jc w:val="right"/>
        <w:rPr>
          <w:rFonts w:ascii="Arial" w:hAnsi="Arial" w:cs="Arial"/>
          <w:b/>
          <w:bCs/>
        </w:rPr>
      </w:pPr>
      <w:r>
        <w:rPr>
          <w:rFonts w:ascii="Arial" w:hAnsi="Arial" w:cs="Arial"/>
          <w:lang w:val="en-US"/>
        </w:rPr>
        <w:t>HP / MR 11 11 20</w:t>
      </w:r>
    </w:p>
    <w:sectPr w:rsidR="00437C56" w:rsidRPr="00846B5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1AD63" w14:textId="77777777" w:rsidR="00681D82" w:rsidRDefault="00681D82" w:rsidP="00087CBA">
      <w:pPr>
        <w:spacing w:after="0" w:line="240" w:lineRule="auto"/>
      </w:pPr>
      <w:r>
        <w:separator/>
      </w:r>
    </w:p>
  </w:endnote>
  <w:endnote w:type="continuationSeparator" w:id="0">
    <w:p w14:paraId="488B78F4" w14:textId="77777777" w:rsidR="00681D82" w:rsidRDefault="00681D82" w:rsidP="00087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E53F6" w14:textId="77777777" w:rsidR="00437C56" w:rsidRDefault="00437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6492117"/>
      <w:docPartObj>
        <w:docPartGallery w:val="Page Numbers (Bottom of Page)"/>
        <w:docPartUnique/>
      </w:docPartObj>
    </w:sdtPr>
    <w:sdtEndPr>
      <w:rPr>
        <w:noProof/>
      </w:rPr>
    </w:sdtEndPr>
    <w:sdtContent>
      <w:p w14:paraId="345DDFE9" w14:textId="5DFCFC52" w:rsidR="00087CBA" w:rsidRDefault="00087C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B73D11" w14:textId="3CE9C698" w:rsidR="00087CBA" w:rsidRDefault="00210F97" w:rsidP="00210F97">
    <w:pPr>
      <w:pStyle w:val="Footer"/>
      <w:jc w:val="center"/>
    </w:pPr>
    <w:r w:rsidRPr="00FB6DA7">
      <w:rPr>
        <w:noProof/>
      </w:rPr>
      <w:drawing>
        <wp:inline distT="0" distB="0" distL="0" distR="0" wp14:anchorId="6F74871D" wp14:editId="647051D4">
          <wp:extent cx="5551805" cy="1153795"/>
          <wp:effectExtent l="0" t="0" r="0" b="0"/>
          <wp:docPr id="3" name="Picture 1" descr="A picture containing 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descr="A picture containing graphical user interface, application&#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1805" cy="115379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70CE4" w14:textId="77777777" w:rsidR="00437C56" w:rsidRDefault="00437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D958F" w14:textId="77777777" w:rsidR="00681D82" w:rsidRDefault="00681D82" w:rsidP="00087CBA">
      <w:pPr>
        <w:spacing w:after="0" w:line="240" w:lineRule="auto"/>
      </w:pPr>
      <w:r>
        <w:separator/>
      </w:r>
    </w:p>
  </w:footnote>
  <w:footnote w:type="continuationSeparator" w:id="0">
    <w:p w14:paraId="65F10FBC" w14:textId="77777777" w:rsidR="00681D82" w:rsidRDefault="00681D82" w:rsidP="00087CBA">
      <w:pPr>
        <w:spacing w:after="0" w:line="240" w:lineRule="auto"/>
      </w:pPr>
      <w:r>
        <w:continuationSeparator/>
      </w:r>
    </w:p>
  </w:footnote>
  <w:footnote w:id="1">
    <w:p w14:paraId="527774E1" w14:textId="792C8A6C" w:rsidR="0086216A" w:rsidRDefault="0086216A">
      <w:pPr>
        <w:pStyle w:val="FootnoteText"/>
      </w:pPr>
      <w:r>
        <w:rPr>
          <w:rStyle w:val="FootnoteReference"/>
        </w:rPr>
        <w:footnoteRef/>
      </w:r>
      <w:r>
        <w:t xml:space="preserve"> Cambridgeshire and Peterborough, Liverpool, </w:t>
      </w:r>
      <w:r w:rsidR="002A4484">
        <w:t xml:space="preserve">Greater </w:t>
      </w:r>
      <w:r>
        <w:t xml:space="preserve">Manchester, </w:t>
      </w:r>
      <w:r w:rsidR="002A4484">
        <w:t xml:space="preserve">North of Tyne, </w:t>
      </w:r>
      <w:r>
        <w:t>Tees Valley, West of England and West Midlands</w:t>
      </w:r>
      <w:r w:rsidR="002A4484">
        <w:t>.</w:t>
      </w:r>
    </w:p>
  </w:footnote>
  <w:footnote w:id="2">
    <w:p w14:paraId="1033F693" w14:textId="77777777" w:rsidR="004C3694" w:rsidRDefault="004C3694" w:rsidP="004C3694">
      <w:pPr>
        <w:rPr>
          <w:rFonts w:ascii="Arial" w:hAnsi="Arial" w:cs="Arial"/>
          <w:noProof/>
          <w:sz w:val="20"/>
          <w:szCs w:val="20"/>
        </w:rPr>
      </w:pPr>
      <w:r>
        <w:rPr>
          <w:rStyle w:val="FootnoteReference"/>
          <w:rFonts w:ascii="Arial" w:hAnsi="Arial" w:cs="Arial"/>
          <w:sz w:val="20"/>
          <w:szCs w:val="20"/>
        </w:rPr>
        <w:footnoteRef/>
      </w:r>
      <w:r>
        <w:rPr>
          <w:rFonts w:ascii="Arial" w:hAnsi="Arial" w:cs="Arial"/>
          <w:sz w:val="20"/>
          <w:szCs w:val="20"/>
        </w:rPr>
        <w:t xml:space="preserve"> </w:t>
      </w:r>
      <w:hyperlink r:id="rId1" w:history="1">
        <w:r>
          <w:rPr>
            <w:rStyle w:val="Hyperlink"/>
            <w:rFonts w:ascii="Arial" w:hAnsi="Arial" w:cs="Arial"/>
            <w:sz w:val="20"/>
            <w:szCs w:val="20"/>
            <w:lang w:eastAsia="en-GB"/>
          </w:rPr>
          <w:t>https://www.local.gov.uk/learning-life-role-adult-community-education-developing-thriving-local-communities-handbook</w:t>
        </w:r>
      </w:hyperlink>
      <w:r>
        <w:rPr>
          <w:rFonts w:ascii="Arial" w:hAnsi="Arial" w:cs="Arial"/>
          <w:sz w:val="20"/>
          <w:szCs w:val="20"/>
          <w:lang w:eastAsia="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8E1BB" w14:textId="77777777" w:rsidR="00437C56" w:rsidRDefault="00437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B18EE" w14:textId="3558DB34" w:rsidR="00210F97" w:rsidRDefault="00210F97" w:rsidP="00210F97">
    <w:pPr>
      <w:pStyle w:val="Header"/>
      <w:jc w:val="center"/>
    </w:pPr>
    <w:r w:rsidRPr="00FB6DA7">
      <w:rPr>
        <w:noProof/>
      </w:rPr>
      <w:drawing>
        <wp:inline distT="0" distB="0" distL="0" distR="0" wp14:anchorId="2CDE202D" wp14:editId="6085205C">
          <wp:extent cx="4542790" cy="732790"/>
          <wp:effectExtent l="0" t="0" r="0" b="0"/>
          <wp:docPr id="2" name="Picture 2" descr="A picture containing plate,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plate, drawing&#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2790" cy="7327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CD707" w14:textId="77777777" w:rsidR="00437C56" w:rsidRDefault="00437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530"/>
    <w:multiLevelType w:val="hybridMultilevel"/>
    <w:tmpl w:val="EA58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B10A3"/>
    <w:multiLevelType w:val="hybridMultilevel"/>
    <w:tmpl w:val="A774A836"/>
    <w:lvl w:ilvl="0" w:tplc="08090003">
      <w:start w:val="1"/>
      <w:numFmt w:val="bullet"/>
      <w:lvlText w:val="o"/>
      <w:lvlJc w:val="left"/>
      <w:pPr>
        <w:ind w:left="720" w:hanging="360"/>
      </w:pPr>
      <w:rPr>
        <w:rFonts w:ascii="Courier New" w:hAnsi="Courier New" w:cs="Courier New"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64543"/>
    <w:multiLevelType w:val="hybridMultilevel"/>
    <w:tmpl w:val="CDCED5A8"/>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A8239A"/>
    <w:multiLevelType w:val="hybridMultilevel"/>
    <w:tmpl w:val="1D689B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06C4F"/>
    <w:multiLevelType w:val="hybridMultilevel"/>
    <w:tmpl w:val="C53ACC5C"/>
    <w:lvl w:ilvl="0" w:tplc="646604DE">
      <w:start w:val="1"/>
      <w:numFmt w:val="bullet"/>
      <w:lvlText w:val="•"/>
      <w:lvlJc w:val="left"/>
      <w:pPr>
        <w:tabs>
          <w:tab w:val="num" w:pos="720"/>
        </w:tabs>
        <w:ind w:left="720" w:hanging="360"/>
      </w:pPr>
      <w:rPr>
        <w:rFonts w:ascii="Arial" w:hAnsi="Arial" w:hint="default"/>
      </w:rPr>
    </w:lvl>
    <w:lvl w:ilvl="1" w:tplc="F1726224" w:tentative="1">
      <w:start w:val="1"/>
      <w:numFmt w:val="bullet"/>
      <w:lvlText w:val="•"/>
      <w:lvlJc w:val="left"/>
      <w:pPr>
        <w:tabs>
          <w:tab w:val="num" w:pos="1440"/>
        </w:tabs>
        <w:ind w:left="1440" w:hanging="360"/>
      </w:pPr>
      <w:rPr>
        <w:rFonts w:ascii="Arial" w:hAnsi="Arial" w:hint="default"/>
      </w:rPr>
    </w:lvl>
    <w:lvl w:ilvl="2" w:tplc="55ACF788" w:tentative="1">
      <w:start w:val="1"/>
      <w:numFmt w:val="bullet"/>
      <w:lvlText w:val="•"/>
      <w:lvlJc w:val="left"/>
      <w:pPr>
        <w:tabs>
          <w:tab w:val="num" w:pos="2160"/>
        </w:tabs>
        <w:ind w:left="2160" w:hanging="360"/>
      </w:pPr>
      <w:rPr>
        <w:rFonts w:ascii="Arial" w:hAnsi="Arial" w:hint="default"/>
      </w:rPr>
    </w:lvl>
    <w:lvl w:ilvl="3" w:tplc="BB30D178" w:tentative="1">
      <w:start w:val="1"/>
      <w:numFmt w:val="bullet"/>
      <w:lvlText w:val="•"/>
      <w:lvlJc w:val="left"/>
      <w:pPr>
        <w:tabs>
          <w:tab w:val="num" w:pos="2880"/>
        </w:tabs>
        <w:ind w:left="2880" w:hanging="360"/>
      </w:pPr>
      <w:rPr>
        <w:rFonts w:ascii="Arial" w:hAnsi="Arial" w:hint="default"/>
      </w:rPr>
    </w:lvl>
    <w:lvl w:ilvl="4" w:tplc="A3E88438" w:tentative="1">
      <w:start w:val="1"/>
      <w:numFmt w:val="bullet"/>
      <w:lvlText w:val="•"/>
      <w:lvlJc w:val="left"/>
      <w:pPr>
        <w:tabs>
          <w:tab w:val="num" w:pos="3600"/>
        </w:tabs>
        <w:ind w:left="3600" w:hanging="360"/>
      </w:pPr>
      <w:rPr>
        <w:rFonts w:ascii="Arial" w:hAnsi="Arial" w:hint="default"/>
      </w:rPr>
    </w:lvl>
    <w:lvl w:ilvl="5" w:tplc="FC026892" w:tentative="1">
      <w:start w:val="1"/>
      <w:numFmt w:val="bullet"/>
      <w:lvlText w:val="•"/>
      <w:lvlJc w:val="left"/>
      <w:pPr>
        <w:tabs>
          <w:tab w:val="num" w:pos="4320"/>
        </w:tabs>
        <w:ind w:left="4320" w:hanging="360"/>
      </w:pPr>
      <w:rPr>
        <w:rFonts w:ascii="Arial" w:hAnsi="Arial" w:hint="default"/>
      </w:rPr>
    </w:lvl>
    <w:lvl w:ilvl="6" w:tplc="0DFE29A4" w:tentative="1">
      <w:start w:val="1"/>
      <w:numFmt w:val="bullet"/>
      <w:lvlText w:val="•"/>
      <w:lvlJc w:val="left"/>
      <w:pPr>
        <w:tabs>
          <w:tab w:val="num" w:pos="5040"/>
        </w:tabs>
        <w:ind w:left="5040" w:hanging="360"/>
      </w:pPr>
      <w:rPr>
        <w:rFonts w:ascii="Arial" w:hAnsi="Arial" w:hint="default"/>
      </w:rPr>
    </w:lvl>
    <w:lvl w:ilvl="7" w:tplc="F146954E" w:tentative="1">
      <w:start w:val="1"/>
      <w:numFmt w:val="bullet"/>
      <w:lvlText w:val="•"/>
      <w:lvlJc w:val="left"/>
      <w:pPr>
        <w:tabs>
          <w:tab w:val="num" w:pos="5760"/>
        </w:tabs>
        <w:ind w:left="5760" w:hanging="360"/>
      </w:pPr>
      <w:rPr>
        <w:rFonts w:ascii="Arial" w:hAnsi="Arial" w:hint="default"/>
      </w:rPr>
    </w:lvl>
    <w:lvl w:ilvl="8" w:tplc="59A8D3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6A1D72"/>
    <w:multiLevelType w:val="hybridMultilevel"/>
    <w:tmpl w:val="B442EBEA"/>
    <w:lvl w:ilvl="0" w:tplc="08090003">
      <w:start w:val="1"/>
      <w:numFmt w:val="bullet"/>
      <w:lvlText w:val="o"/>
      <w:lvlJc w:val="left"/>
      <w:pPr>
        <w:ind w:left="720" w:hanging="360"/>
      </w:pPr>
      <w:rPr>
        <w:rFonts w:ascii="Courier New" w:hAnsi="Courier New" w:cs="Courier New"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8270D"/>
    <w:multiLevelType w:val="hybridMultilevel"/>
    <w:tmpl w:val="453C88D6"/>
    <w:lvl w:ilvl="0" w:tplc="E542C08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082463"/>
    <w:multiLevelType w:val="hybridMultilevel"/>
    <w:tmpl w:val="65BA23A6"/>
    <w:lvl w:ilvl="0" w:tplc="F4DAE780">
      <w:start w:val="1"/>
      <w:numFmt w:val="bullet"/>
      <w:lvlText w:val="•"/>
      <w:lvlJc w:val="left"/>
      <w:pPr>
        <w:tabs>
          <w:tab w:val="num" w:pos="720"/>
        </w:tabs>
        <w:ind w:left="720" w:hanging="360"/>
      </w:pPr>
      <w:rPr>
        <w:rFonts w:ascii="Arial" w:hAnsi="Arial" w:hint="default"/>
      </w:rPr>
    </w:lvl>
    <w:lvl w:ilvl="1" w:tplc="CA98CF50" w:tentative="1">
      <w:start w:val="1"/>
      <w:numFmt w:val="bullet"/>
      <w:lvlText w:val="•"/>
      <w:lvlJc w:val="left"/>
      <w:pPr>
        <w:tabs>
          <w:tab w:val="num" w:pos="1440"/>
        </w:tabs>
        <w:ind w:left="1440" w:hanging="360"/>
      </w:pPr>
      <w:rPr>
        <w:rFonts w:ascii="Arial" w:hAnsi="Arial" w:hint="default"/>
      </w:rPr>
    </w:lvl>
    <w:lvl w:ilvl="2" w:tplc="C6042256" w:tentative="1">
      <w:start w:val="1"/>
      <w:numFmt w:val="bullet"/>
      <w:lvlText w:val="•"/>
      <w:lvlJc w:val="left"/>
      <w:pPr>
        <w:tabs>
          <w:tab w:val="num" w:pos="2160"/>
        </w:tabs>
        <w:ind w:left="2160" w:hanging="360"/>
      </w:pPr>
      <w:rPr>
        <w:rFonts w:ascii="Arial" w:hAnsi="Arial" w:hint="default"/>
      </w:rPr>
    </w:lvl>
    <w:lvl w:ilvl="3" w:tplc="ABAA08E0" w:tentative="1">
      <w:start w:val="1"/>
      <w:numFmt w:val="bullet"/>
      <w:lvlText w:val="•"/>
      <w:lvlJc w:val="left"/>
      <w:pPr>
        <w:tabs>
          <w:tab w:val="num" w:pos="2880"/>
        </w:tabs>
        <w:ind w:left="2880" w:hanging="360"/>
      </w:pPr>
      <w:rPr>
        <w:rFonts w:ascii="Arial" w:hAnsi="Arial" w:hint="default"/>
      </w:rPr>
    </w:lvl>
    <w:lvl w:ilvl="4" w:tplc="FAD8C0CC" w:tentative="1">
      <w:start w:val="1"/>
      <w:numFmt w:val="bullet"/>
      <w:lvlText w:val="•"/>
      <w:lvlJc w:val="left"/>
      <w:pPr>
        <w:tabs>
          <w:tab w:val="num" w:pos="3600"/>
        </w:tabs>
        <w:ind w:left="3600" w:hanging="360"/>
      </w:pPr>
      <w:rPr>
        <w:rFonts w:ascii="Arial" w:hAnsi="Arial" w:hint="default"/>
      </w:rPr>
    </w:lvl>
    <w:lvl w:ilvl="5" w:tplc="D75212D8" w:tentative="1">
      <w:start w:val="1"/>
      <w:numFmt w:val="bullet"/>
      <w:lvlText w:val="•"/>
      <w:lvlJc w:val="left"/>
      <w:pPr>
        <w:tabs>
          <w:tab w:val="num" w:pos="4320"/>
        </w:tabs>
        <w:ind w:left="4320" w:hanging="360"/>
      </w:pPr>
      <w:rPr>
        <w:rFonts w:ascii="Arial" w:hAnsi="Arial" w:hint="default"/>
      </w:rPr>
    </w:lvl>
    <w:lvl w:ilvl="6" w:tplc="30AA51A0" w:tentative="1">
      <w:start w:val="1"/>
      <w:numFmt w:val="bullet"/>
      <w:lvlText w:val="•"/>
      <w:lvlJc w:val="left"/>
      <w:pPr>
        <w:tabs>
          <w:tab w:val="num" w:pos="5040"/>
        </w:tabs>
        <w:ind w:left="5040" w:hanging="360"/>
      </w:pPr>
      <w:rPr>
        <w:rFonts w:ascii="Arial" w:hAnsi="Arial" w:hint="default"/>
      </w:rPr>
    </w:lvl>
    <w:lvl w:ilvl="7" w:tplc="CA581EF8" w:tentative="1">
      <w:start w:val="1"/>
      <w:numFmt w:val="bullet"/>
      <w:lvlText w:val="•"/>
      <w:lvlJc w:val="left"/>
      <w:pPr>
        <w:tabs>
          <w:tab w:val="num" w:pos="5760"/>
        </w:tabs>
        <w:ind w:left="5760" w:hanging="360"/>
      </w:pPr>
      <w:rPr>
        <w:rFonts w:ascii="Arial" w:hAnsi="Arial" w:hint="default"/>
      </w:rPr>
    </w:lvl>
    <w:lvl w:ilvl="8" w:tplc="5C10417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313258D"/>
    <w:multiLevelType w:val="hybridMultilevel"/>
    <w:tmpl w:val="5AEEAF96"/>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50B1503"/>
    <w:multiLevelType w:val="hybridMultilevel"/>
    <w:tmpl w:val="6C72C506"/>
    <w:lvl w:ilvl="0" w:tplc="F0602FF4">
      <w:start w:val="1"/>
      <w:numFmt w:val="bullet"/>
      <w:lvlText w:val="•"/>
      <w:lvlJc w:val="left"/>
      <w:pPr>
        <w:tabs>
          <w:tab w:val="num" w:pos="720"/>
        </w:tabs>
        <w:ind w:left="720" w:hanging="360"/>
      </w:pPr>
      <w:rPr>
        <w:rFonts w:ascii="Arial" w:hAnsi="Arial" w:hint="default"/>
      </w:rPr>
    </w:lvl>
    <w:lvl w:ilvl="1" w:tplc="2C18244A" w:tentative="1">
      <w:start w:val="1"/>
      <w:numFmt w:val="bullet"/>
      <w:lvlText w:val="•"/>
      <w:lvlJc w:val="left"/>
      <w:pPr>
        <w:tabs>
          <w:tab w:val="num" w:pos="1440"/>
        </w:tabs>
        <w:ind w:left="1440" w:hanging="360"/>
      </w:pPr>
      <w:rPr>
        <w:rFonts w:ascii="Arial" w:hAnsi="Arial" w:hint="default"/>
      </w:rPr>
    </w:lvl>
    <w:lvl w:ilvl="2" w:tplc="B7F01640" w:tentative="1">
      <w:start w:val="1"/>
      <w:numFmt w:val="bullet"/>
      <w:lvlText w:val="•"/>
      <w:lvlJc w:val="left"/>
      <w:pPr>
        <w:tabs>
          <w:tab w:val="num" w:pos="2160"/>
        </w:tabs>
        <w:ind w:left="2160" w:hanging="360"/>
      </w:pPr>
      <w:rPr>
        <w:rFonts w:ascii="Arial" w:hAnsi="Arial" w:hint="default"/>
      </w:rPr>
    </w:lvl>
    <w:lvl w:ilvl="3" w:tplc="0998651E" w:tentative="1">
      <w:start w:val="1"/>
      <w:numFmt w:val="bullet"/>
      <w:lvlText w:val="•"/>
      <w:lvlJc w:val="left"/>
      <w:pPr>
        <w:tabs>
          <w:tab w:val="num" w:pos="2880"/>
        </w:tabs>
        <w:ind w:left="2880" w:hanging="360"/>
      </w:pPr>
      <w:rPr>
        <w:rFonts w:ascii="Arial" w:hAnsi="Arial" w:hint="default"/>
      </w:rPr>
    </w:lvl>
    <w:lvl w:ilvl="4" w:tplc="9222C4C2" w:tentative="1">
      <w:start w:val="1"/>
      <w:numFmt w:val="bullet"/>
      <w:lvlText w:val="•"/>
      <w:lvlJc w:val="left"/>
      <w:pPr>
        <w:tabs>
          <w:tab w:val="num" w:pos="3600"/>
        </w:tabs>
        <w:ind w:left="3600" w:hanging="360"/>
      </w:pPr>
      <w:rPr>
        <w:rFonts w:ascii="Arial" w:hAnsi="Arial" w:hint="default"/>
      </w:rPr>
    </w:lvl>
    <w:lvl w:ilvl="5" w:tplc="F1DC37CC" w:tentative="1">
      <w:start w:val="1"/>
      <w:numFmt w:val="bullet"/>
      <w:lvlText w:val="•"/>
      <w:lvlJc w:val="left"/>
      <w:pPr>
        <w:tabs>
          <w:tab w:val="num" w:pos="4320"/>
        </w:tabs>
        <w:ind w:left="4320" w:hanging="360"/>
      </w:pPr>
      <w:rPr>
        <w:rFonts w:ascii="Arial" w:hAnsi="Arial" w:hint="default"/>
      </w:rPr>
    </w:lvl>
    <w:lvl w:ilvl="6" w:tplc="E2FEA58C" w:tentative="1">
      <w:start w:val="1"/>
      <w:numFmt w:val="bullet"/>
      <w:lvlText w:val="•"/>
      <w:lvlJc w:val="left"/>
      <w:pPr>
        <w:tabs>
          <w:tab w:val="num" w:pos="5040"/>
        </w:tabs>
        <w:ind w:left="5040" w:hanging="360"/>
      </w:pPr>
      <w:rPr>
        <w:rFonts w:ascii="Arial" w:hAnsi="Arial" w:hint="default"/>
      </w:rPr>
    </w:lvl>
    <w:lvl w:ilvl="7" w:tplc="584262F8" w:tentative="1">
      <w:start w:val="1"/>
      <w:numFmt w:val="bullet"/>
      <w:lvlText w:val="•"/>
      <w:lvlJc w:val="left"/>
      <w:pPr>
        <w:tabs>
          <w:tab w:val="num" w:pos="5760"/>
        </w:tabs>
        <w:ind w:left="5760" w:hanging="360"/>
      </w:pPr>
      <w:rPr>
        <w:rFonts w:ascii="Arial" w:hAnsi="Arial" w:hint="default"/>
      </w:rPr>
    </w:lvl>
    <w:lvl w:ilvl="8" w:tplc="2A322C2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9C3951"/>
    <w:multiLevelType w:val="hybridMultilevel"/>
    <w:tmpl w:val="4C0A7FA6"/>
    <w:lvl w:ilvl="0" w:tplc="08090001">
      <w:start w:val="1"/>
      <w:numFmt w:val="bullet"/>
      <w:lvlText w:val=""/>
      <w:lvlJc w:val="left"/>
      <w:pPr>
        <w:ind w:left="41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A41F7"/>
    <w:multiLevelType w:val="hybridMultilevel"/>
    <w:tmpl w:val="2A845540"/>
    <w:lvl w:ilvl="0" w:tplc="036201A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324EDE"/>
    <w:multiLevelType w:val="hybridMultilevel"/>
    <w:tmpl w:val="5AEEAF96"/>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4BD25AF"/>
    <w:multiLevelType w:val="hybridMultilevel"/>
    <w:tmpl w:val="B5CCEC04"/>
    <w:lvl w:ilvl="0" w:tplc="036201A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B53D19"/>
    <w:multiLevelType w:val="hybridMultilevel"/>
    <w:tmpl w:val="6C58F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6607A46"/>
    <w:multiLevelType w:val="hybridMultilevel"/>
    <w:tmpl w:val="5AEEAF96"/>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93D4C35"/>
    <w:multiLevelType w:val="hybridMultilevel"/>
    <w:tmpl w:val="A434D564"/>
    <w:lvl w:ilvl="0" w:tplc="D7A46704">
      <w:start w:val="1"/>
      <w:numFmt w:val="bullet"/>
      <w:lvlText w:val="•"/>
      <w:lvlJc w:val="left"/>
      <w:pPr>
        <w:tabs>
          <w:tab w:val="num" w:pos="720"/>
        </w:tabs>
        <w:ind w:left="720" w:hanging="360"/>
      </w:pPr>
      <w:rPr>
        <w:rFonts w:ascii="Arial" w:hAnsi="Arial" w:hint="default"/>
      </w:rPr>
    </w:lvl>
    <w:lvl w:ilvl="1" w:tplc="6BB67FD8" w:tentative="1">
      <w:start w:val="1"/>
      <w:numFmt w:val="bullet"/>
      <w:lvlText w:val="•"/>
      <w:lvlJc w:val="left"/>
      <w:pPr>
        <w:tabs>
          <w:tab w:val="num" w:pos="1440"/>
        </w:tabs>
        <w:ind w:left="1440" w:hanging="360"/>
      </w:pPr>
      <w:rPr>
        <w:rFonts w:ascii="Arial" w:hAnsi="Arial" w:hint="default"/>
      </w:rPr>
    </w:lvl>
    <w:lvl w:ilvl="2" w:tplc="0A26967E" w:tentative="1">
      <w:start w:val="1"/>
      <w:numFmt w:val="bullet"/>
      <w:lvlText w:val="•"/>
      <w:lvlJc w:val="left"/>
      <w:pPr>
        <w:tabs>
          <w:tab w:val="num" w:pos="2160"/>
        </w:tabs>
        <w:ind w:left="2160" w:hanging="360"/>
      </w:pPr>
      <w:rPr>
        <w:rFonts w:ascii="Arial" w:hAnsi="Arial" w:hint="default"/>
      </w:rPr>
    </w:lvl>
    <w:lvl w:ilvl="3" w:tplc="0D7CCE74" w:tentative="1">
      <w:start w:val="1"/>
      <w:numFmt w:val="bullet"/>
      <w:lvlText w:val="•"/>
      <w:lvlJc w:val="left"/>
      <w:pPr>
        <w:tabs>
          <w:tab w:val="num" w:pos="2880"/>
        </w:tabs>
        <w:ind w:left="2880" w:hanging="360"/>
      </w:pPr>
      <w:rPr>
        <w:rFonts w:ascii="Arial" w:hAnsi="Arial" w:hint="default"/>
      </w:rPr>
    </w:lvl>
    <w:lvl w:ilvl="4" w:tplc="F0E2992A" w:tentative="1">
      <w:start w:val="1"/>
      <w:numFmt w:val="bullet"/>
      <w:lvlText w:val="•"/>
      <w:lvlJc w:val="left"/>
      <w:pPr>
        <w:tabs>
          <w:tab w:val="num" w:pos="3600"/>
        </w:tabs>
        <w:ind w:left="3600" w:hanging="360"/>
      </w:pPr>
      <w:rPr>
        <w:rFonts w:ascii="Arial" w:hAnsi="Arial" w:hint="default"/>
      </w:rPr>
    </w:lvl>
    <w:lvl w:ilvl="5" w:tplc="6B5AC1EC" w:tentative="1">
      <w:start w:val="1"/>
      <w:numFmt w:val="bullet"/>
      <w:lvlText w:val="•"/>
      <w:lvlJc w:val="left"/>
      <w:pPr>
        <w:tabs>
          <w:tab w:val="num" w:pos="4320"/>
        </w:tabs>
        <w:ind w:left="4320" w:hanging="360"/>
      </w:pPr>
      <w:rPr>
        <w:rFonts w:ascii="Arial" w:hAnsi="Arial" w:hint="default"/>
      </w:rPr>
    </w:lvl>
    <w:lvl w:ilvl="6" w:tplc="1E529746" w:tentative="1">
      <w:start w:val="1"/>
      <w:numFmt w:val="bullet"/>
      <w:lvlText w:val="•"/>
      <w:lvlJc w:val="left"/>
      <w:pPr>
        <w:tabs>
          <w:tab w:val="num" w:pos="5040"/>
        </w:tabs>
        <w:ind w:left="5040" w:hanging="360"/>
      </w:pPr>
      <w:rPr>
        <w:rFonts w:ascii="Arial" w:hAnsi="Arial" w:hint="default"/>
      </w:rPr>
    </w:lvl>
    <w:lvl w:ilvl="7" w:tplc="E7065284" w:tentative="1">
      <w:start w:val="1"/>
      <w:numFmt w:val="bullet"/>
      <w:lvlText w:val="•"/>
      <w:lvlJc w:val="left"/>
      <w:pPr>
        <w:tabs>
          <w:tab w:val="num" w:pos="5760"/>
        </w:tabs>
        <w:ind w:left="5760" w:hanging="360"/>
      </w:pPr>
      <w:rPr>
        <w:rFonts w:ascii="Arial" w:hAnsi="Arial" w:hint="default"/>
      </w:rPr>
    </w:lvl>
    <w:lvl w:ilvl="8" w:tplc="1A4069E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AC33D1F"/>
    <w:multiLevelType w:val="hybridMultilevel"/>
    <w:tmpl w:val="29AC0C4E"/>
    <w:lvl w:ilvl="0" w:tplc="8E28FDCE">
      <w:start w:val="1"/>
      <w:numFmt w:val="bullet"/>
      <w:lvlText w:val="•"/>
      <w:lvlJc w:val="left"/>
      <w:pPr>
        <w:tabs>
          <w:tab w:val="num" w:pos="720"/>
        </w:tabs>
        <w:ind w:left="720" w:hanging="360"/>
      </w:pPr>
      <w:rPr>
        <w:rFonts w:ascii="Arial" w:hAnsi="Arial" w:hint="default"/>
      </w:rPr>
    </w:lvl>
    <w:lvl w:ilvl="1" w:tplc="5D12D46C" w:tentative="1">
      <w:start w:val="1"/>
      <w:numFmt w:val="bullet"/>
      <w:lvlText w:val="•"/>
      <w:lvlJc w:val="left"/>
      <w:pPr>
        <w:tabs>
          <w:tab w:val="num" w:pos="1440"/>
        </w:tabs>
        <w:ind w:left="1440" w:hanging="360"/>
      </w:pPr>
      <w:rPr>
        <w:rFonts w:ascii="Arial" w:hAnsi="Arial" w:hint="default"/>
      </w:rPr>
    </w:lvl>
    <w:lvl w:ilvl="2" w:tplc="CA06E284" w:tentative="1">
      <w:start w:val="1"/>
      <w:numFmt w:val="bullet"/>
      <w:lvlText w:val="•"/>
      <w:lvlJc w:val="left"/>
      <w:pPr>
        <w:tabs>
          <w:tab w:val="num" w:pos="2160"/>
        </w:tabs>
        <w:ind w:left="2160" w:hanging="360"/>
      </w:pPr>
      <w:rPr>
        <w:rFonts w:ascii="Arial" w:hAnsi="Arial" w:hint="default"/>
      </w:rPr>
    </w:lvl>
    <w:lvl w:ilvl="3" w:tplc="69C06DF6" w:tentative="1">
      <w:start w:val="1"/>
      <w:numFmt w:val="bullet"/>
      <w:lvlText w:val="•"/>
      <w:lvlJc w:val="left"/>
      <w:pPr>
        <w:tabs>
          <w:tab w:val="num" w:pos="2880"/>
        </w:tabs>
        <w:ind w:left="2880" w:hanging="360"/>
      </w:pPr>
      <w:rPr>
        <w:rFonts w:ascii="Arial" w:hAnsi="Arial" w:hint="default"/>
      </w:rPr>
    </w:lvl>
    <w:lvl w:ilvl="4" w:tplc="D45ECE2C" w:tentative="1">
      <w:start w:val="1"/>
      <w:numFmt w:val="bullet"/>
      <w:lvlText w:val="•"/>
      <w:lvlJc w:val="left"/>
      <w:pPr>
        <w:tabs>
          <w:tab w:val="num" w:pos="3600"/>
        </w:tabs>
        <w:ind w:left="3600" w:hanging="360"/>
      </w:pPr>
      <w:rPr>
        <w:rFonts w:ascii="Arial" w:hAnsi="Arial" w:hint="default"/>
      </w:rPr>
    </w:lvl>
    <w:lvl w:ilvl="5" w:tplc="03C268A4" w:tentative="1">
      <w:start w:val="1"/>
      <w:numFmt w:val="bullet"/>
      <w:lvlText w:val="•"/>
      <w:lvlJc w:val="left"/>
      <w:pPr>
        <w:tabs>
          <w:tab w:val="num" w:pos="4320"/>
        </w:tabs>
        <w:ind w:left="4320" w:hanging="360"/>
      </w:pPr>
      <w:rPr>
        <w:rFonts w:ascii="Arial" w:hAnsi="Arial" w:hint="default"/>
      </w:rPr>
    </w:lvl>
    <w:lvl w:ilvl="6" w:tplc="CADA9D36" w:tentative="1">
      <w:start w:val="1"/>
      <w:numFmt w:val="bullet"/>
      <w:lvlText w:val="•"/>
      <w:lvlJc w:val="left"/>
      <w:pPr>
        <w:tabs>
          <w:tab w:val="num" w:pos="5040"/>
        </w:tabs>
        <w:ind w:left="5040" w:hanging="360"/>
      </w:pPr>
      <w:rPr>
        <w:rFonts w:ascii="Arial" w:hAnsi="Arial" w:hint="default"/>
      </w:rPr>
    </w:lvl>
    <w:lvl w:ilvl="7" w:tplc="C79645E8" w:tentative="1">
      <w:start w:val="1"/>
      <w:numFmt w:val="bullet"/>
      <w:lvlText w:val="•"/>
      <w:lvlJc w:val="left"/>
      <w:pPr>
        <w:tabs>
          <w:tab w:val="num" w:pos="5760"/>
        </w:tabs>
        <w:ind w:left="5760" w:hanging="360"/>
      </w:pPr>
      <w:rPr>
        <w:rFonts w:ascii="Arial" w:hAnsi="Arial" w:hint="default"/>
      </w:rPr>
    </w:lvl>
    <w:lvl w:ilvl="8" w:tplc="5716394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1AC4B85"/>
    <w:multiLevelType w:val="hybridMultilevel"/>
    <w:tmpl w:val="F8241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2691F95"/>
    <w:multiLevelType w:val="hybridMultilevel"/>
    <w:tmpl w:val="8846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8D4112"/>
    <w:multiLevelType w:val="hybridMultilevel"/>
    <w:tmpl w:val="03F4EABE"/>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F96135B"/>
    <w:multiLevelType w:val="hybridMultilevel"/>
    <w:tmpl w:val="81A8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C31CF5"/>
    <w:multiLevelType w:val="hybridMultilevel"/>
    <w:tmpl w:val="1638C966"/>
    <w:lvl w:ilvl="0" w:tplc="E2EAAF52">
      <w:start w:val="1"/>
      <w:numFmt w:val="bullet"/>
      <w:lvlText w:val="•"/>
      <w:lvlJc w:val="left"/>
      <w:pPr>
        <w:tabs>
          <w:tab w:val="num" w:pos="720"/>
        </w:tabs>
        <w:ind w:left="720" w:hanging="360"/>
      </w:pPr>
      <w:rPr>
        <w:rFonts w:ascii="Arial" w:hAnsi="Arial" w:hint="default"/>
      </w:rPr>
    </w:lvl>
    <w:lvl w:ilvl="1" w:tplc="60147A0A" w:tentative="1">
      <w:start w:val="1"/>
      <w:numFmt w:val="bullet"/>
      <w:lvlText w:val="•"/>
      <w:lvlJc w:val="left"/>
      <w:pPr>
        <w:tabs>
          <w:tab w:val="num" w:pos="1440"/>
        </w:tabs>
        <w:ind w:left="1440" w:hanging="360"/>
      </w:pPr>
      <w:rPr>
        <w:rFonts w:ascii="Arial" w:hAnsi="Arial" w:hint="default"/>
      </w:rPr>
    </w:lvl>
    <w:lvl w:ilvl="2" w:tplc="558E9CF2" w:tentative="1">
      <w:start w:val="1"/>
      <w:numFmt w:val="bullet"/>
      <w:lvlText w:val="•"/>
      <w:lvlJc w:val="left"/>
      <w:pPr>
        <w:tabs>
          <w:tab w:val="num" w:pos="2160"/>
        </w:tabs>
        <w:ind w:left="2160" w:hanging="360"/>
      </w:pPr>
      <w:rPr>
        <w:rFonts w:ascii="Arial" w:hAnsi="Arial" w:hint="default"/>
      </w:rPr>
    </w:lvl>
    <w:lvl w:ilvl="3" w:tplc="6526C7C6" w:tentative="1">
      <w:start w:val="1"/>
      <w:numFmt w:val="bullet"/>
      <w:lvlText w:val="•"/>
      <w:lvlJc w:val="left"/>
      <w:pPr>
        <w:tabs>
          <w:tab w:val="num" w:pos="2880"/>
        </w:tabs>
        <w:ind w:left="2880" w:hanging="360"/>
      </w:pPr>
      <w:rPr>
        <w:rFonts w:ascii="Arial" w:hAnsi="Arial" w:hint="default"/>
      </w:rPr>
    </w:lvl>
    <w:lvl w:ilvl="4" w:tplc="69AA0508" w:tentative="1">
      <w:start w:val="1"/>
      <w:numFmt w:val="bullet"/>
      <w:lvlText w:val="•"/>
      <w:lvlJc w:val="left"/>
      <w:pPr>
        <w:tabs>
          <w:tab w:val="num" w:pos="3600"/>
        </w:tabs>
        <w:ind w:left="3600" w:hanging="360"/>
      </w:pPr>
      <w:rPr>
        <w:rFonts w:ascii="Arial" w:hAnsi="Arial" w:hint="default"/>
      </w:rPr>
    </w:lvl>
    <w:lvl w:ilvl="5" w:tplc="79A410B4" w:tentative="1">
      <w:start w:val="1"/>
      <w:numFmt w:val="bullet"/>
      <w:lvlText w:val="•"/>
      <w:lvlJc w:val="left"/>
      <w:pPr>
        <w:tabs>
          <w:tab w:val="num" w:pos="4320"/>
        </w:tabs>
        <w:ind w:left="4320" w:hanging="360"/>
      </w:pPr>
      <w:rPr>
        <w:rFonts w:ascii="Arial" w:hAnsi="Arial" w:hint="default"/>
      </w:rPr>
    </w:lvl>
    <w:lvl w:ilvl="6" w:tplc="4EF45B4A" w:tentative="1">
      <w:start w:val="1"/>
      <w:numFmt w:val="bullet"/>
      <w:lvlText w:val="•"/>
      <w:lvlJc w:val="left"/>
      <w:pPr>
        <w:tabs>
          <w:tab w:val="num" w:pos="5040"/>
        </w:tabs>
        <w:ind w:left="5040" w:hanging="360"/>
      </w:pPr>
      <w:rPr>
        <w:rFonts w:ascii="Arial" w:hAnsi="Arial" w:hint="default"/>
      </w:rPr>
    </w:lvl>
    <w:lvl w:ilvl="7" w:tplc="A7588BBC" w:tentative="1">
      <w:start w:val="1"/>
      <w:numFmt w:val="bullet"/>
      <w:lvlText w:val="•"/>
      <w:lvlJc w:val="left"/>
      <w:pPr>
        <w:tabs>
          <w:tab w:val="num" w:pos="5760"/>
        </w:tabs>
        <w:ind w:left="5760" w:hanging="360"/>
      </w:pPr>
      <w:rPr>
        <w:rFonts w:ascii="Arial" w:hAnsi="Arial" w:hint="default"/>
      </w:rPr>
    </w:lvl>
    <w:lvl w:ilvl="8" w:tplc="569631A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8791BF4"/>
    <w:multiLevelType w:val="hybridMultilevel"/>
    <w:tmpl w:val="C1927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CA2C30"/>
    <w:multiLevelType w:val="hybridMultilevel"/>
    <w:tmpl w:val="B51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316962"/>
    <w:multiLevelType w:val="hybridMultilevel"/>
    <w:tmpl w:val="231AF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B1635D"/>
    <w:multiLevelType w:val="hybridMultilevel"/>
    <w:tmpl w:val="676AE1A2"/>
    <w:lvl w:ilvl="0" w:tplc="036201A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AF2DC8"/>
    <w:multiLevelType w:val="hybridMultilevel"/>
    <w:tmpl w:val="FF2A8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5"/>
  </w:num>
  <w:num w:numId="4">
    <w:abstractNumId w:val="8"/>
  </w:num>
  <w:num w:numId="5">
    <w:abstractNumId w:val="26"/>
  </w:num>
  <w:num w:numId="6">
    <w:abstractNumId w:val="25"/>
  </w:num>
  <w:num w:numId="7">
    <w:abstractNumId w:val="11"/>
  </w:num>
  <w:num w:numId="8">
    <w:abstractNumId w:val="3"/>
  </w:num>
  <w:num w:numId="9">
    <w:abstractNumId w:val="1"/>
  </w:num>
  <w:num w:numId="10">
    <w:abstractNumId w:val="13"/>
  </w:num>
  <w:num w:numId="11">
    <w:abstractNumId w:val="5"/>
  </w:num>
  <w:num w:numId="12">
    <w:abstractNumId w:val="22"/>
  </w:num>
  <w:num w:numId="13">
    <w:abstractNumId w:val="21"/>
  </w:num>
  <w:num w:numId="14">
    <w:abstractNumId w:val="17"/>
  </w:num>
  <w:num w:numId="15">
    <w:abstractNumId w:val="14"/>
  </w:num>
  <w:num w:numId="16">
    <w:abstractNumId w:val="23"/>
  </w:num>
  <w:num w:numId="17">
    <w:abstractNumId w:val="20"/>
  </w:num>
  <w:num w:numId="18">
    <w:abstractNumId w:val="2"/>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26"/>
  </w:num>
  <w:num w:numId="21">
    <w:abstractNumId w:val="5"/>
  </w:num>
  <w:num w:numId="22">
    <w:abstractNumId w:val="11"/>
  </w:num>
  <w:num w:numId="23">
    <w:abstractNumId w:val="25"/>
  </w:num>
  <w:num w:numId="24">
    <w:abstractNumId w:val="1"/>
  </w:num>
  <w:num w:numId="25">
    <w:abstractNumId w:val="27"/>
  </w:num>
  <w:num w:numId="26">
    <w:abstractNumId w:val="18"/>
  </w:num>
  <w:num w:numId="27">
    <w:abstractNumId w:val="6"/>
  </w:num>
  <w:num w:numId="28">
    <w:abstractNumId w:val="10"/>
  </w:num>
  <w:num w:numId="29">
    <w:abstractNumId w:val="0"/>
  </w:num>
  <w:num w:numId="30">
    <w:abstractNumId w:val="7"/>
  </w:num>
  <w:num w:numId="31">
    <w:abstractNumId w:val="9"/>
  </w:num>
  <w:num w:numId="32">
    <w:abstractNumId w:val="16"/>
  </w:num>
  <w:num w:numId="33">
    <w:abstractNumId w:val="2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EC"/>
    <w:rsid w:val="00026619"/>
    <w:rsid w:val="00051402"/>
    <w:rsid w:val="00087CBA"/>
    <w:rsid w:val="0009263D"/>
    <w:rsid w:val="0009342D"/>
    <w:rsid w:val="000935D2"/>
    <w:rsid w:val="000B1182"/>
    <w:rsid w:val="000C7ED4"/>
    <w:rsid w:val="000E19BE"/>
    <w:rsid w:val="000F2A9E"/>
    <w:rsid w:val="00115B48"/>
    <w:rsid w:val="001175F8"/>
    <w:rsid w:val="001402BD"/>
    <w:rsid w:val="001443EF"/>
    <w:rsid w:val="00144BDC"/>
    <w:rsid w:val="00150FDB"/>
    <w:rsid w:val="00194A69"/>
    <w:rsid w:val="00194DA9"/>
    <w:rsid w:val="001A6B6B"/>
    <w:rsid w:val="001B7A4E"/>
    <w:rsid w:val="001F4997"/>
    <w:rsid w:val="00210F97"/>
    <w:rsid w:val="00244CBC"/>
    <w:rsid w:val="00255993"/>
    <w:rsid w:val="00257E6E"/>
    <w:rsid w:val="00264802"/>
    <w:rsid w:val="0027328B"/>
    <w:rsid w:val="002748B5"/>
    <w:rsid w:val="00294FEA"/>
    <w:rsid w:val="0029597E"/>
    <w:rsid w:val="002A4484"/>
    <w:rsid w:val="002B0F8E"/>
    <w:rsid w:val="002D44D8"/>
    <w:rsid w:val="003179B2"/>
    <w:rsid w:val="00326DEC"/>
    <w:rsid w:val="003A0311"/>
    <w:rsid w:val="003B11FB"/>
    <w:rsid w:val="003B4179"/>
    <w:rsid w:val="003C4C4C"/>
    <w:rsid w:val="003D1888"/>
    <w:rsid w:val="003D18F0"/>
    <w:rsid w:val="003D4D4D"/>
    <w:rsid w:val="003F0D94"/>
    <w:rsid w:val="003F3CDD"/>
    <w:rsid w:val="00401783"/>
    <w:rsid w:val="00417819"/>
    <w:rsid w:val="00427DD7"/>
    <w:rsid w:val="00437AAD"/>
    <w:rsid w:val="00437C56"/>
    <w:rsid w:val="004471CB"/>
    <w:rsid w:val="0045416E"/>
    <w:rsid w:val="0048170A"/>
    <w:rsid w:val="004944F1"/>
    <w:rsid w:val="004955FE"/>
    <w:rsid w:val="00495D8E"/>
    <w:rsid w:val="004A5F0A"/>
    <w:rsid w:val="004B67E0"/>
    <w:rsid w:val="004C3694"/>
    <w:rsid w:val="004C5DBB"/>
    <w:rsid w:val="00530814"/>
    <w:rsid w:val="00533407"/>
    <w:rsid w:val="00536B87"/>
    <w:rsid w:val="00565C67"/>
    <w:rsid w:val="005B0238"/>
    <w:rsid w:val="005C2DFA"/>
    <w:rsid w:val="005D0481"/>
    <w:rsid w:val="005D4697"/>
    <w:rsid w:val="005F28E0"/>
    <w:rsid w:val="0060001C"/>
    <w:rsid w:val="006020F6"/>
    <w:rsid w:val="006364FC"/>
    <w:rsid w:val="00645BEA"/>
    <w:rsid w:val="00662293"/>
    <w:rsid w:val="00675233"/>
    <w:rsid w:val="00680813"/>
    <w:rsid w:val="00681D82"/>
    <w:rsid w:val="006840A3"/>
    <w:rsid w:val="00690870"/>
    <w:rsid w:val="006A4982"/>
    <w:rsid w:val="006B5502"/>
    <w:rsid w:val="006C09E3"/>
    <w:rsid w:val="006C293E"/>
    <w:rsid w:val="006F1CEC"/>
    <w:rsid w:val="00703F7E"/>
    <w:rsid w:val="00717A6D"/>
    <w:rsid w:val="00725492"/>
    <w:rsid w:val="007721A2"/>
    <w:rsid w:val="007E30BB"/>
    <w:rsid w:val="007F7854"/>
    <w:rsid w:val="008431C6"/>
    <w:rsid w:val="00846B57"/>
    <w:rsid w:val="0086216A"/>
    <w:rsid w:val="00863F8D"/>
    <w:rsid w:val="00872098"/>
    <w:rsid w:val="00875546"/>
    <w:rsid w:val="00883F51"/>
    <w:rsid w:val="008878F9"/>
    <w:rsid w:val="008C5577"/>
    <w:rsid w:val="008D21BE"/>
    <w:rsid w:val="008D7839"/>
    <w:rsid w:val="008E075F"/>
    <w:rsid w:val="00943A85"/>
    <w:rsid w:val="00961C96"/>
    <w:rsid w:val="009775B2"/>
    <w:rsid w:val="009963AF"/>
    <w:rsid w:val="009A5016"/>
    <w:rsid w:val="009C2E06"/>
    <w:rsid w:val="009C395E"/>
    <w:rsid w:val="009E74AC"/>
    <w:rsid w:val="00A24074"/>
    <w:rsid w:val="00A306B4"/>
    <w:rsid w:val="00A55068"/>
    <w:rsid w:val="00A70CF3"/>
    <w:rsid w:val="00A8258C"/>
    <w:rsid w:val="00A9479A"/>
    <w:rsid w:val="00AA7ED4"/>
    <w:rsid w:val="00AB3EE7"/>
    <w:rsid w:val="00AE7CD2"/>
    <w:rsid w:val="00B1449A"/>
    <w:rsid w:val="00B23452"/>
    <w:rsid w:val="00B2504B"/>
    <w:rsid w:val="00B64145"/>
    <w:rsid w:val="00B652F0"/>
    <w:rsid w:val="00B72564"/>
    <w:rsid w:val="00B84E73"/>
    <w:rsid w:val="00B868F3"/>
    <w:rsid w:val="00B869A2"/>
    <w:rsid w:val="00B957A3"/>
    <w:rsid w:val="00BC63BA"/>
    <w:rsid w:val="00BD73FA"/>
    <w:rsid w:val="00BE1DF6"/>
    <w:rsid w:val="00BE799A"/>
    <w:rsid w:val="00CD5686"/>
    <w:rsid w:val="00CF5200"/>
    <w:rsid w:val="00D05299"/>
    <w:rsid w:val="00D11FEF"/>
    <w:rsid w:val="00D1223B"/>
    <w:rsid w:val="00D76F75"/>
    <w:rsid w:val="00D77331"/>
    <w:rsid w:val="00D90E5C"/>
    <w:rsid w:val="00DB0D35"/>
    <w:rsid w:val="00DE2A13"/>
    <w:rsid w:val="00E003E7"/>
    <w:rsid w:val="00E26B2F"/>
    <w:rsid w:val="00E32B58"/>
    <w:rsid w:val="00E454A2"/>
    <w:rsid w:val="00EA0B70"/>
    <w:rsid w:val="00EC5B0C"/>
    <w:rsid w:val="00EC73B3"/>
    <w:rsid w:val="00ED1EE3"/>
    <w:rsid w:val="00ED66C5"/>
    <w:rsid w:val="00F103CD"/>
    <w:rsid w:val="00F14666"/>
    <w:rsid w:val="00F305AF"/>
    <w:rsid w:val="00F471B9"/>
    <w:rsid w:val="00F62B0E"/>
    <w:rsid w:val="00F64D1D"/>
    <w:rsid w:val="00F75CB1"/>
    <w:rsid w:val="00F77B73"/>
    <w:rsid w:val="00F90952"/>
    <w:rsid w:val="00FA1358"/>
    <w:rsid w:val="00FA17BA"/>
    <w:rsid w:val="00FC7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E1002"/>
  <w15:chartTrackingRefBased/>
  <w15:docId w15:val="{CD61D5A4-30C9-4FBD-B697-82735F94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DE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DEC"/>
    <w:pPr>
      <w:ind w:left="720"/>
      <w:contextualSpacing/>
    </w:pPr>
  </w:style>
  <w:style w:type="paragraph" w:styleId="Header">
    <w:name w:val="header"/>
    <w:basedOn w:val="Normal"/>
    <w:link w:val="HeaderChar"/>
    <w:uiPriority w:val="99"/>
    <w:unhideWhenUsed/>
    <w:rsid w:val="00087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CBA"/>
  </w:style>
  <w:style w:type="paragraph" w:styleId="Footer">
    <w:name w:val="footer"/>
    <w:basedOn w:val="Normal"/>
    <w:link w:val="FooterChar"/>
    <w:uiPriority w:val="99"/>
    <w:unhideWhenUsed/>
    <w:rsid w:val="00087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CBA"/>
  </w:style>
  <w:style w:type="paragraph" w:styleId="FootnoteText">
    <w:name w:val="footnote text"/>
    <w:basedOn w:val="Normal"/>
    <w:link w:val="FootnoteTextChar"/>
    <w:uiPriority w:val="99"/>
    <w:semiHidden/>
    <w:unhideWhenUsed/>
    <w:rsid w:val="008621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16A"/>
    <w:rPr>
      <w:sz w:val="20"/>
      <w:szCs w:val="20"/>
    </w:rPr>
  </w:style>
  <w:style w:type="character" w:styleId="FootnoteReference">
    <w:name w:val="footnote reference"/>
    <w:basedOn w:val="DefaultParagraphFont"/>
    <w:uiPriority w:val="99"/>
    <w:semiHidden/>
    <w:unhideWhenUsed/>
    <w:rsid w:val="0086216A"/>
    <w:rPr>
      <w:vertAlign w:val="superscript"/>
    </w:rPr>
  </w:style>
  <w:style w:type="character" w:styleId="Hyperlink">
    <w:name w:val="Hyperlink"/>
    <w:basedOn w:val="DefaultParagraphFont"/>
    <w:uiPriority w:val="99"/>
    <w:semiHidden/>
    <w:unhideWhenUsed/>
    <w:rsid w:val="004C3694"/>
    <w:rPr>
      <w:color w:val="0563C1" w:themeColor="hyperlink"/>
      <w:u w:val="single"/>
    </w:rPr>
  </w:style>
  <w:style w:type="paragraph" w:styleId="BalloonText">
    <w:name w:val="Balloon Text"/>
    <w:basedOn w:val="Normal"/>
    <w:link w:val="BalloonTextChar"/>
    <w:uiPriority w:val="99"/>
    <w:semiHidden/>
    <w:unhideWhenUsed/>
    <w:rsid w:val="00F10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3CD"/>
    <w:rPr>
      <w:rFonts w:ascii="Segoe UI" w:hAnsi="Segoe UI" w:cs="Segoe UI"/>
      <w:sz w:val="18"/>
      <w:szCs w:val="18"/>
    </w:rPr>
  </w:style>
  <w:style w:type="table" w:styleId="TableGrid">
    <w:name w:val="Table Grid"/>
    <w:basedOn w:val="TableNormal"/>
    <w:uiPriority w:val="39"/>
    <w:rsid w:val="00437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70883">
      <w:bodyDiv w:val="1"/>
      <w:marLeft w:val="0"/>
      <w:marRight w:val="0"/>
      <w:marTop w:val="0"/>
      <w:marBottom w:val="0"/>
      <w:divBdr>
        <w:top w:val="none" w:sz="0" w:space="0" w:color="auto"/>
        <w:left w:val="none" w:sz="0" w:space="0" w:color="auto"/>
        <w:bottom w:val="none" w:sz="0" w:space="0" w:color="auto"/>
        <w:right w:val="none" w:sz="0" w:space="0" w:color="auto"/>
      </w:divBdr>
    </w:div>
    <w:div w:id="140193202">
      <w:bodyDiv w:val="1"/>
      <w:marLeft w:val="0"/>
      <w:marRight w:val="0"/>
      <w:marTop w:val="0"/>
      <w:marBottom w:val="0"/>
      <w:divBdr>
        <w:top w:val="none" w:sz="0" w:space="0" w:color="auto"/>
        <w:left w:val="none" w:sz="0" w:space="0" w:color="auto"/>
        <w:bottom w:val="none" w:sz="0" w:space="0" w:color="auto"/>
        <w:right w:val="none" w:sz="0" w:space="0" w:color="auto"/>
      </w:divBdr>
      <w:divsChild>
        <w:div w:id="1542790571">
          <w:marLeft w:val="360"/>
          <w:marRight w:val="0"/>
          <w:marTop w:val="200"/>
          <w:marBottom w:val="0"/>
          <w:divBdr>
            <w:top w:val="none" w:sz="0" w:space="0" w:color="auto"/>
            <w:left w:val="none" w:sz="0" w:space="0" w:color="auto"/>
            <w:bottom w:val="none" w:sz="0" w:space="0" w:color="auto"/>
            <w:right w:val="none" w:sz="0" w:space="0" w:color="auto"/>
          </w:divBdr>
        </w:div>
        <w:div w:id="1263881897">
          <w:marLeft w:val="360"/>
          <w:marRight w:val="0"/>
          <w:marTop w:val="200"/>
          <w:marBottom w:val="0"/>
          <w:divBdr>
            <w:top w:val="none" w:sz="0" w:space="0" w:color="auto"/>
            <w:left w:val="none" w:sz="0" w:space="0" w:color="auto"/>
            <w:bottom w:val="none" w:sz="0" w:space="0" w:color="auto"/>
            <w:right w:val="none" w:sz="0" w:space="0" w:color="auto"/>
          </w:divBdr>
        </w:div>
        <w:div w:id="242032567">
          <w:marLeft w:val="360"/>
          <w:marRight w:val="0"/>
          <w:marTop w:val="200"/>
          <w:marBottom w:val="0"/>
          <w:divBdr>
            <w:top w:val="none" w:sz="0" w:space="0" w:color="auto"/>
            <w:left w:val="none" w:sz="0" w:space="0" w:color="auto"/>
            <w:bottom w:val="none" w:sz="0" w:space="0" w:color="auto"/>
            <w:right w:val="none" w:sz="0" w:space="0" w:color="auto"/>
          </w:divBdr>
        </w:div>
        <w:div w:id="6101128">
          <w:marLeft w:val="360"/>
          <w:marRight w:val="0"/>
          <w:marTop w:val="200"/>
          <w:marBottom w:val="0"/>
          <w:divBdr>
            <w:top w:val="none" w:sz="0" w:space="0" w:color="auto"/>
            <w:left w:val="none" w:sz="0" w:space="0" w:color="auto"/>
            <w:bottom w:val="none" w:sz="0" w:space="0" w:color="auto"/>
            <w:right w:val="none" w:sz="0" w:space="0" w:color="auto"/>
          </w:divBdr>
        </w:div>
        <w:div w:id="2090887676">
          <w:marLeft w:val="360"/>
          <w:marRight w:val="0"/>
          <w:marTop w:val="200"/>
          <w:marBottom w:val="0"/>
          <w:divBdr>
            <w:top w:val="none" w:sz="0" w:space="0" w:color="auto"/>
            <w:left w:val="none" w:sz="0" w:space="0" w:color="auto"/>
            <w:bottom w:val="none" w:sz="0" w:space="0" w:color="auto"/>
            <w:right w:val="none" w:sz="0" w:space="0" w:color="auto"/>
          </w:divBdr>
        </w:div>
      </w:divsChild>
    </w:div>
    <w:div w:id="201867244">
      <w:bodyDiv w:val="1"/>
      <w:marLeft w:val="0"/>
      <w:marRight w:val="0"/>
      <w:marTop w:val="0"/>
      <w:marBottom w:val="0"/>
      <w:divBdr>
        <w:top w:val="none" w:sz="0" w:space="0" w:color="auto"/>
        <w:left w:val="none" w:sz="0" w:space="0" w:color="auto"/>
        <w:bottom w:val="none" w:sz="0" w:space="0" w:color="auto"/>
        <w:right w:val="none" w:sz="0" w:space="0" w:color="auto"/>
      </w:divBdr>
      <w:divsChild>
        <w:div w:id="1122185018">
          <w:marLeft w:val="360"/>
          <w:marRight w:val="0"/>
          <w:marTop w:val="200"/>
          <w:marBottom w:val="0"/>
          <w:divBdr>
            <w:top w:val="none" w:sz="0" w:space="0" w:color="auto"/>
            <w:left w:val="none" w:sz="0" w:space="0" w:color="auto"/>
            <w:bottom w:val="none" w:sz="0" w:space="0" w:color="auto"/>
            <w:right w:val="none" w:sz="0" w:space="0" w:color="auto"/>
          </w:divBdr>
        </w:div>
        <w:div w:id="954335369">
          <w:marLeft w:val="360"/>
          <w:marRight w:val="0"/>
          <w:marTop w:val="200"/>
          <w:marBottom w:val="0"/>
          <w:divBdr>
            <w:top w:val="none" w:sz="0" w:space="0" w:color="auto"/>
            <w:left w:val="none" w:sz="0" w:space="0" w:color="auto"/>
            <w:bottom w:val="none" w:sz="0" w:space="0" w:color="auto"/>
            <w:right w:val="none" w:sz="0" w:space="0" w:color="auto"/>
          </w:divBdr>
        </w:div>
        <w:div w:id="19405508">
          <w:marLeft w:val="360"/>
          <w:marRight w:val="0"/>
          <w:marTop w:val="200"/>
          <w:marBottom w:val="0"/>
          <w:divBdr>
            <w:top w:val="none" w:sz="0" w:space="0" w:color="auto"/>
            <w:left w:val="none" w:sz="0" w:space="0" w:color="auto"/>
            <w:bottom w:val="none" w:sz="0" w:space="0" w:color="auto"/>
            <w:right w:val="none" w:sz="0" w:space="0" w:color="auto"/>
          </w:divBdr>
        </w:div>
        <w:div w:id="539130165">
          <w:marLeft w:val="360"/>
          <w:marRight w:val="0"/>
          <w:marTop w:val="200"/>
          <w:marBottom w:val="0"/>
          <w:divBdr>
            <w:top w:val="none" w:sz="0" w:space="0" w:color="auto"/>
            <w:left w:val="none" w:sz="0" w:space="0" w:color="auto"/>
            <w:bottom w:val="none" w:sz="0" w:space="0" w:color="auto"/>
            <w:right w:val="none" w:sz="0" w:space="0" w:color="auto"/>
          </w:divBdr>
        </w:div>
      </w:divsChild>
    </w:div>
    <w:div w:id="234894911">
      <w:bodyDiv w:val="1"/>
      <w:marLeft w:val="0"/>
      <w:marRight w:val="0"/>
      <w:marTop w:val="0"/>
      <w:marBottom w:val="0"/>
      <w:divBdr>
        <w:top w:val="none" w:sz="0" w:space="0" w:color="auto"/>
        <w:left w:val="none" w:sz="0" w:space="0" w:color="auto"/>
        <w:bottom w:val="none" w:sz="0" w:space="0" w:color="auto"/>
        <w:right w:val="none" w:sz="0" w:space="0" w:color="auto"/>
      </w:divBdr>
    </w:div>
    <w:div w:id="316955782">
      <w:bodyDiv w:val="1"/>
      <w:marLeft w:val="0"/>
      <w:marRight w:val="0"/>
      <w:marTop w:val="0"/>
      <w:marBottom w:val="0"/>
      <w:divBdr>
        <w:top w:val="none" w:sz="0" w:space="0" w:color="auto"/>
        <w:left w:val="none" w:sz="0" w:space="0" w:color="auto"/>
        <w:bottom w:val="none" w:sz="0" w:space="0" w:color="auto"/>
        <w:right w:val="none" w:sz="0" w:space="0" w:color="auto"/>
      </w:divBdr>
      <w:divsChild>
        <w:div w:id="1340935624">
          <w:marLeft w:val="360"/>
          <w:marRight w:val="0"/>
          <w:marTop w:val="200"/>
          <w:marBottom w:val="0"/>
          <w:divBdr>
            <w:top w:val="none" w:sz="0" w:space="0" w:color="auto"/>
            <w:left w:val="none" w:sz="0" w:space="0" w:color="auto"/>
            <w:bottom w:val="none" w:sz="0" w:space="0" w:color="auto"/>
            <w:right w:val="none" w:sz="0" w:space="0" w:color="auto"/>
          </w:divBdr>
        </w:div>
        <w:div w:id="1105266026">
          <w:marLeft w:val="360"/>
          <w:marRight w:val="0"/>
          <w:marTop w:val="200"/>
          <w:marBottom w:val="0"/>
          <w:divBdr>
            <w:top w:val="none" w:sz="0" w:space="0" w:color="auto"/>
            <w:left w:val="none" w:sz="0" w:space="0" w:color="auto"/>
            <w:bottom w:val="none" w:sz="0" w:space="0" w:color="auto"/>
            <w:right w:val="none" w:sz="0" w:space="0" w:color="auto"/>
          </w:divBdr>
        </w:div>
        <w:div w:id="857431538">
          <w:marLeft w:val="360"/>
          <w:marRight w:val="0"/>
          <w:marTop w:val="200"/>
          <w:marBottom w:val="0"/>
          <w:divBdr>
            <w:top w:val="none" w:sz="0" w:space="0" w:color="auto"/>
            <w:left w:val="none" w:sz="0" w:space="0" w:color="auto"/>
            <w:bottom w:val="none" w:sz="0" w:space="0" w:color="auto"/>
            <w:right w:val="none" w:sz="0" w:space="0" w:color="auto"/>
          </w:divBdr>
        </w:div>
        <w:div w:id="1841383706">
          <w:marLeft w:val="360"/>
          <w:marRight w:val="0"/>
          <w:marTop w:val="200"/>
          <w:marBottom w:val="0"/>
          <w:divBdr>
            <w:top w:val="none" w:sz="0" w:space="0" w:color="auto"/>
            <w:left w:val="none" w:sz="0" w:space="0" w:color="auto"/>
            <w:bottom w:val="none" w:sz="0" w:space="0" w:color="auto"/>
            <w:right w:val="none" w:sz="0" w:space="0" w:color="auto"/>
          </w:divBdr>
        </w:div>
      </w:divsChild>
    </w:div>
    <w:div w:id="793641276">
      <w:bodyDiv w:val="1"/>
      <w:marLeft w:val="0"/>
      <w:marRight w:val="0"/>
      <w:marTop w:val="0"/>
      <w:marBottom w:val="0"/>
      <w:divBdr>
        <w:top w:val="none" w:sz="0" w:space="0" w:color="auto"/>
        <w:left w:val="none" w:sz="0" w:space="0" w:color="auto"/>
        <w:bottom w:val="none" w:sz="0" w:space="0" w:color="auto"/>
        <w:right w:val="none" w:sz="0" w:space="0" w:color="auto"/>
      </w:divBdr>
    </w:div>
    <w:div w:id="1001540808">
      <w:bodyDiv w:val="1"/>
      <w:marLeft w:val="0"/>
      <w:marRight w:val="0"/>
      <w:marTop w:val="0"/>
      <w:marBottom w:val="0"/>
      <w:divBdr>
        <w:top w:val="none" w:sz="0" w:space="0" w:color="auto"/>
        <w:left w:val="none" w:sz="0" w:space="0" w:color="auto"/>
        <w:bottom w:val="none" w:sz="0" w:space="0" w:color="auto"/>
        <w:right w:val="none" w:sz="0" w:space="0" w:color="auto"/>
      </w:divBdr>
    </w:div>
    <w:div w:id="1151024275">
      <w:bodyDiv w:val="1"/>
      <w:marLeft w:val="0"/>
      <w:marRight w:val="0"/>
      <w:marTop w:val="0"/>
      <w:marBottom w:val="0"/>
      <w:divBdr>
        <w:top w:val="none" w:sz="0" w:space="0" w:color="auto"/>
        <w:left w:val="none" w:sz="0" w:space="0" w:color="auto"/>
        <w:bottom w:val="none" w:sz="0" w:space="0" w:color="auto"/>
        <w:right w:val="none" w:sz="0" w:space="0" w:color="auto"/>
      </w:divBdr>
    </w:div>
    <w:div w:id="1380325002">
      <w:bodyDiv w:val="1"/>
      <w:marLeft w:val="0"/>
      <w:marRight w:val="0"/>
      <w:marTop w:val="0"/>
      <w:marBottom w:val="0"/>
      <w:divBdr>
        <w:top w:val="none" w:sz="0" w:space="0" w:color="auto"/>
        <w:left w:val="none" w:sz="0" w:space="0" w:color="auto"/>
        <w:bottom w:val="none" w:sz="0" w:space="0" w:color="auto"/>
        <w:right w:val="none" w:sz="0" w:space="0" w:color="auto"/>
      </w:divBdr>
      <w:divsChild>
        <w:div w:id="883564091">
          <w:marLeft w:val="562"/>
          <w:marRight w:val="0"/>
          <w:marTop w:val="115"/>
          <w:marBottom w:val="0"/>
          <w:divBdr>
            <w:top w:val="none" w:sz="0" w:space="0" w:color="auto"/>
            <w:left w:val="none" w:sz="0" w:space="0" w:color="auto"/>
            <w:bottom w:val="none" w:sz="0" w:space="0" w:color="auto"/>
            <w:right w:val="none" w:sz="0" w:space="0" w:color="auto"/>
          </w:divBdr>
        </w:div>
      </w:divsChild>
    </w:div>
    <w:div w:id="1711110313">
      <w:bodyDiv w:val="1"/>
      <w:marLeft w:val="0"/>
      <w:marRight w:val="0"/>
      <w:marTop w:val="0"/>
      <w:marBottom w:val="0"/>
      <w:divBdr>
        <w:top w:val="none" w:sz="0" w:space="0" w:color="auto"/>
        <w:left w:val="none" w:sz="0" w:space="0" w:color="auto"/>
        <w:bottom w:val="none" w:sz="0" w:space="0" w:color="auto"/>
        <w:right w:val="none" w:sz="0" w:space="0" w:color="auto"/>
      </w:divBdr>
    </w:div>
    <w:div w:id="1773427960">
      <w:bodyDiv w:val="1"/>
      <w:marLeft w:val="0"/>
      <w:marRight w:val="0"/>
      <w:marTop w:val="0"/>
      <w:marBottom w:val="0"/>
      <w:divBdr>
        <w:top w:val="none" w:sz="0" w:space="0" w:color="auto"/>
        <w:left w:val="none" w:sz="0" w:space="0" w:color="auto"/>
        <w:bottom w:val="none" w:sz="0" w:space="0" w:color="auto"/>
        <w:right w:val="none" w:sz="0" w:space="0" w:color="auto"/>
      </w:divBdr>
      <w:divsChild>
        <w:div w:id="2080248804">
          <w:marLeft w:val="360"/>
          <w:marRight w:val="0"/>
          <w:marTop w:val="200"/>
          <w:marBottom w:val="0"/>
          <w:divBdr>
            <w:top w:val="none" w:sz="0" w:space="0" w:color="auto"/>
            <w:left w:val="none" w:sz="0" w:space="0" w:color="auto"/>
            <w:bottom w:val="none" w:sz="0" w:space="0" w:color="auto"/>
            <w:right w:val="none" w:sz="0" w:space="0" w:color="auto"/>
          </w:divBdr>
        </w:div>
        <w:div w:id="813839603">
          <w:marLeft w:val="360"/>
          <w:marRight w:val="0"/>
          <w:marTop w:val="200"/>
          <w:marBottom w:val="0"/>
          <w:divBdr>
            <w:top w:val="none" w:sz="0" w:space="0" w:color="auto"/>
            <w:left w:val="none" w:sz="0" w:space="0" w:color="auto"/>
            <w:bottom w:val="none" w:sz="0" w:space="0" w:color="auto"/>
            <w:right w:val="none" w:sz="0" w:space="0" w:color="auto"/>
          </w:divBdr>
        </w:div>
        <w:div w:id="1145782531">
          <w:marLeft w:val="360"/>
          <w:marRight w:val="0"/>
          <w:marTop w:val="200"/>
          <w:marBottom w:val="0"/>
          <w:divBdr>
            <w:top w:val="none" w:sz="0" w:space="0" w:color="auto"/>
            <w:left w:val="none" w:sz="0" w:space="0" w:color="auto"/>
            <w:bottom w:val="none" w:sz="0" w:space="0" w:color="auto"/>
            <w:right w:val="none" w:sz="0" w:space="0" w:color="auto"/>
          </w:divBdr>
        </w:div>
        <w:div w:id="1115296531">
          <w:marLeft w:val="360"/>
          <w:marRight w:val="0"/>
          <w:marTop w:val="200"/>
          <w:marBottom w:val="0"/>
          <w:divBdr>
            <w:top w:val="none" w:sz="0" w:space="0" w:color="auto"/>
            <w:left w:val="none" w:sz="0" w:space="0" w:color="auto"/>
            <w:bottom w:val="none" w:sz="0" w:space="0" w:color="auto"/>
            <w:right w:val="none" w:sz="0" w:space="0" w:color="auto"/>
          </w:divBdr>
        </w:div>
        <w:div w:id="539052223">
          <w:marLeft w:val="360"/>
          <w:marRight w:val="0"/>
          <w:marTop w:val="200"/>
          <w:marBottom w:val="0"/>
          <w:divBdr>
            <w:top w:val="none" w:sz="0" w:space="0" w:color="auto"/>
            <w:left w:val="none" w:sz="0" w:space="0" w:color="auto"/>
            <w:bottom w:val="none" w:sz="0" w:space="0" w:color="auto"/>
            <w:right w:val="none" w:sz="0" w:space="0" w:color="auto"/>
          </w:divBdr>
        </w:div>
      </w:divsChild>
    </w:div>
    <w:div w:id="1813133246">
      <w:bodyDiv w:val="1"/>
      <w:marLeft w:val="0"/>
      <w:marRight w:val="0"/>
      <w:marTop w:val="0"/>
      <w:marBottom w:val="0"/>
      <w:divBdr>
        <w:top w:val="none" w:sz="0" w:space="0" w:color="auto"/>
        <w:left w:val="none" w:sz="0" w:space="0" w:color="auto"/>
        <w:bottom w:val="none" w:sz="0" w:space="0" w:color="auto"/>
        <w:right w:val="none" w:sz="0" w:space="0" w:color="auto"/>
      </w:divBdr>
      <w:divsChild>
        <w:div w:id="1186745556">
          <w:marLeft w:val="547"/>
          <w:marRight w:val="0"/>
          <w:marTop w:val="134"/>
          <w:marBottom w:val="0"/>
          <w:divBdr>
            <w:top w:val="none" w:sz="0" w:space="0" w:color="auto"/>
            <w:left w:val="none" w:sz="0" w:space="0" w:color="auto"/>
            <w:bottom w:val="none" w:sz="0" w:space="0" w:color="auto"/>
            <w:right w:val="none" w:sz="0" w:space="0" w:color="auto"/>
          </w:divBdr>
        </w:div>
        <w:div w:id="1938978966">
          <w:marLeft w:val="547"/>
          <w:marRight w:val="0"/>
          <w:marTop w:val="134"/>
          <w:marBottom w:val="0"/>
          <w:divBdr>
            <w:top w:val="none" w:sz="0" w:space="0" w:color="auto"/>
            <w:left w:val="none" w:sz="0" w:space="0" w:color="auto"/>
            <w:bottom w:val="none" w:sz="0" w:space="0" w:color="auto"/>
            <w:right w:val="none" w:sz="0" w:space="0" w:color="auto"/>
          </w:divBdr>
        </w:div>
        <w:div w:id="108357560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local.gov.uk/learning-life-role-adult-community-education-developing-thriving-local-communities-handboo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7E2C8C-F607-BC44-BD9C-043362613237}" type="doc">
      <dgm:prSet loTypeId="urn:microsoft.com/office/officeart/2005/8/layout/cycle1" loCatId="cycle" qsTypeId="urn:microsoft.com/office/officeart/2005/8/quickstyle/simple5" qsCatId="simple" csTypeId="urn:microsoft.com/office/officeart/2005/8/colors/accent1_2" csCatId="accent1" phldr="1"/>
      <dgm:spPr/>
      <dgm:t>
        <a:bodyPr/>
        <a:lstStyle/>
        <a:p>
          <a:endParaRPr lang="en-GB"/>
        </a:p>
      </dgm:t>
    </dgm:pt>
    <dgm:pt modelId="{85E567ED-371E-E546-8AA0-D851D664E240}">
      <dgm:prSet phldrT="[Text]" custT="1"/>
      <dgm:spPr>
        <a:xfrm>
          <a:off x="3153699" y="236394"/>
          <a:ext cx="1206847" cy="1206847"/>
        </a:xfrm>
        <a:prstGeom prst="rect">
          <a:avLst/>
        </a:prstGeom>
        <a:noFill/>
        <a:ln>
          <a:noFill/>
        </a:ln>
        <a:effectLst/>
      </dgm:spPr>
      <dgm:t>
        <a:bodyPr/>
        <a:lstStyle/>
        <a:p>
          <a:pPr>
            <a:buNone/>
          </a:pPr>
          <a:r>
            <a:rPr lang="en-GB" sz="16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Approaches</a:t>
          </a:r>
        </a:p>
      </dgm:t>
    </dgm:pt>
    <dgm:pt modelId="{84D846F0-1184-9940-A318-110D369167EB}" type="parTrans" cxnId="{62755D3D-010B-234B-9609-7DBE976C77A5}">
      <dgm:prSet/>
      <dgm:spPr/>
      <dgm:t>
        <a:bodyPr/>
        <a:lstStyle/>
        <a:p>
          <a:endParaRPr lang="en-GB"/>
        </a:p>
      </dgm:t>
    </dgm:pt>
    <dgm:pt modelId="{56A6B8A7-4C33-6644-B758-E3FD415F77B6}" type="sibTrans" cxnId="{62755D3D-010B-234B-9609-7DBE976C77A5}">
      <dgm:prSet/>
      <dgm:spPr>
        <a:xfrm>
          <a:off x="1317476" y="-516"/>
          <a:ext cx="2851447" cy="2851447"/>
        </a:xfrm>
        <a:prstGeom prst="circularArrow">
          <a:avLst>
            <a:gd name="adj1" fmla="val 8253"/>
            <a:gd name="adj2" fmla="val 576520"/>
            <a:gd name="adj3" fmla="val 2962011"/>
            <a:gd name="adj4" fmla="val 52958"/>
            <a:gd name="adj5" fmla="val 9629"/>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en-GB"/>
        </a:p>
      </dgm:t>
    </dgm:pt>
    <dgm:pt modelId="{DBAA6C96-3BEB-354E-A392-B886F26476FA}">
      <dgm:prSet phldrT="[Text]" custT="1"/>
      <dgm:spPr>
        <a:xfrm>
          <a:off x="2139776" y="1992560"/>
          <a:ext cx="1206847" cy="1206847"/>
        </a:xfrm>
        <a:prstGeom prst="rect">
          <a:avLst/>
        </a:prstGeom>
        <a:noFill/>
        <a:ln>
          <a:noFill/>
        </a:ln>
        <a:effectLst/>
      </dgm:spPr>
      <dgm:t>
        <a:bodyPr/>
        <a:lstStyle/>
        <a:p>
          <a:pPr>
            <a:buNone/>
          </a:pPr>
          <a:r>
            <a:rPr lang="en-GB" sz="16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Evaluation </a:t>
          </a:r>
        </a:p>
      </dgm:t>
    </dgm:pt>
    <dgm:pt modelId="{83C3CE93-34D9-9A44-BD9C-9155D99EE42C}" type="parTrans" cxnId="{FD84F2EA-221F-D946-880F-AE8B64AC5888}">
      <dgm:prSet/>
      <dgm:spPr/>
      <dgm:t>
        <a:bodyPr/>
        <a:lstStyle/>
        <a:p>
          <a:endParaRPr lang="en-GB"/>
        </a:p>
      </dgm:t>
    </dgm:pt>
    <dgm:pt modelId="{736F36D1-70E0-8249-BDF4-6C453CE05C33}" type="sibTrans" cxnId="{FD84F2EA-221F-D946-880F-AE8B64AC5888}">
      <dgm:prSet/>
      <dgm:spPr>
        <a:xfrm>
          <a:off x="1317476" y="-516"/>
          <a:ext cx="2851447" cy="2851447"/>
        </a:xfrm>
        <a:prstGeom prst="circularArrow">
          <a:avLst>
            <a:gd name="adj1" fmla="val 8253"/>
            <a:gd name="adj2" fmla="val 576520"/>
            <a:gd name="adj3" fmla="val 10170522"/>
            <a:gd name="adj4" fmla="val 7261469"/>
            <a:gd name="adj5" fmla="val 9629"/>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en-GB"/>
        </a:p>
      </dgm:t>
    </dgm:pt>
    <dgm:pt modelId="{21CE6AB3-C6D6-9248-8607-DE9A778ADCF1}">
      <dgm:prSet phldrT="[Text]" custT="1"/>
      <dgm:spPr>
        <a:xfrm>
          <a:off x="1125853" y="236394"/>
          <a:ext cx="1206847" cy="1206847"/>
        </a:xfrm>
        <a:prstGeom prst="rect">
          <a:avLst/>
        </a:prstGeom>
        <a:noFill/>
        <a:ln>
          <a:noFill/>
        </a:ln>
        <a:effectLst/>
      </dgm:spPr>
      <dgm:t>
        <a:bodyPr/>
        <a:lstStyle/>
        <a:p>
          <a:pPr>
            <a:buNone/>
          </a:pPr>
          <a:r>
            <a:rPr lang="en-GB" sz="16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Purpose</a:t>
          </a:r>
          <a:r>
            <a:rPr lang="en-GB" sz="2100">
              <a:solidFill>
                <a:sysClr val="windowText" lastClr="000000">
                  <a:hueOff val="0"/>
                  <a:satOff val="0"/>
                  <a:lumOff val="0"/>
                  <a:alphaOff val="0"/>
                </a:sysClr>
              </a:solidFill>
              <a:latin typeface="Calibri" panose="020F0502020204030204"/>
              <a:ea typeface="+mn-ea"/>
              <a:cs typeface="+mn-cs"/>
            </a:rPr>
            <a:t> </a:t>
          </a:r>
        </a:p>
      </dgm:t>
    </dgm:pt>
    <dgm:pt modelId="{7F0F0BB2-2B5D-264E-B2AC-292C5730B6CD}" type="parTrans" cxnId="{77EDCC21-77F9-B840-B18C-8E580B2302CC}">
      <dgm:prSet/>
      <dgm:spPr/>
      <dgm:t>
        <a:bodyPr/>
        <a:lstStyle/>
        <a:p>
          <a:endParaRPr lang="en-GB"/>
        </a:p>
      </dgm:t>
    </dgm:pt>
    <dgm:pt modelId="{395215F9-DD6B-E64F-A1FB-F973C025CD73}" type="sibTrans" cxnId="{77EDCC21-77F9-B840-B18C-8E580B2302CC}">
      <dgm:prSet/>
      <dgm:spPr>
        <a:xfrm>
          <a:off x="1317476" y="-516"/>
          <a:ext cx="2851447" cy="2851447"/>
        </a:xfrm>
        <a:prstGeom prst="circularArrow">
          <a:avLst>
            <a:gd name="adj1" fmla="val 8253"/>
            <a:gd name="adj2" fmla="val 576520"/>
            <a:gd name="adj3" fmla="val 16854998"/>
            <a:gd name="adj4" fmla="val 14968482"/>
            <a:gd name="adj5" fmla="val 9629"/>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en-GB"/>
        </a:p>
      </dgm:t>
    </dgm:pt>
    <dgm:pt modelId="{8896B798-A885-6345-ABE5-04C1382866EC}" type="pres">
      <dgm:prSet presAssocID="{DC7E2C8C-F607-BC44-BD9C-043362613237}" presName="cycle" presStyleCnt="0">
        <dgm:presLayoutVars>
          <dgm:dir/>
          <dgm:resizeHandles val="exact"/>
        </dgm:presLayoutVars>
      </dgm:prSet>
      <dgm:spPr/>
    </dgm:pt>
    <dgm:pt modelId="{EB8E413F-C041-5D40-8C08-C06103D3C9AD}" type="pres">
      <dgm:prSet presAssocID="{85E567ED-371E-E546-8AA0-D851D664E240}" presName="dummy" presStyleCnt="0"/>
      <dgm:spPr/>
    </dgm:pt>
    <dgm:pt modelId="{C5643FEC-3DF7-C244-9071-39DE80026961}" type="pres">
      <dgm:prSet presAssocID="{85E567ED-371E-E546-8AA0-D851D664E240}" presName="node" presStyleLbl="revTx" presStyleIdx="0" presStyleCnt="3" custScaleX="121821">
        <dgm:presLayoutVars>
          <dgm:bulletEnabled val="1"/>
        </dgm:presLayoutVars>
      </dgm:prSet>
      <dgm:spPr/>
    </dgm:pt>
    <dgm:pt modelId="{AE8C92C8-E886-4C4E-84D5-56018FB8F9F1}" type="pres">
      <dgm:prSet presAssocID="{56A6B8A7-4C33-6644-B758-E3FD415F77B6}" presName="sibTrans" presStyleLbl="node1" presStyleIdx="0" presStyleCnt="3"/>
      <dgm:spPr/>
    </dgm:pt>
    <dgm:pt modelId="{4EDA688D-B3F6-C140-8CA9-CC6EA27F26E1}" type="pres">
      <dgm:prSet presAssocID="{DBAA6C96-3BEB-354E-A392-B886F26476FA}" presName="dummy" presStyleCnt="0"/>
      <dgm:spPr/>
    </dgm:pt>
    <dgm:pt modelId="{61D0C8E0-8211-2243-9E50-ED929F0A8704}" type="pres">
      <dgm:prSet presAssocID="{DBAA6C96-3BEB-354E-A392-B886F26476FA}" presName="node" presStyleLbl="revTx" presStyleIdx="1" presStyleCnt="3">
        <dgm:presLayoutVars>
          <dgm:bulletEnabled val="1"/>
        </dgm:presLayoutVars>
      </dgm:prSet>
      <dgm:spPr/>
    </dgm:pt>
    <dgm:pt modelId="{E149758C-EDE1-EA42-86BF-4D562EBCD117}" type="pres">
      <dgm:prSet presAssocID="{736F36D1-70E0-8249-BDF4-6C453CE05C33}" presName="sibTrans" presStyleLbl="node1" presStyleIdx="1" presStyleCnt="3"/>
      <dgm:spPr/>
    </dgm:pt>
    <dgm:pt modelId="{049624E3-193E-B44D-A12F-6B1C4B2973EA}" type="pres">
      <dgm:prSet presAssocID="{21CE6AB3-C6D6-9248-8607-DE9A778ADCF1}" presName="dummy" presStyleCnt="0"/>
      <dgm:spPr/>
    </dgm:pt>
    <dgm:pt modelId="{A05FBEA9-A92F-D043-A3D1-5F2231B488D1}" type="pres">
      <dgm:prSet presAssocID="{21CE6AB3-C6D6-9248-8607-DE9A778ADCF1}" presName="node" presStyleLbl="revTx" presStyleIdx="2" presStyleCnt="3">
        <dgm:presLayoutVars>
          <dgm:bulletEnabled val="1"/>
        </dgm:presLayoutVars>
      </dgm:prSet>
      <dgm:spPr/>
    </dgm:pt>
    <dgm:pt modelId="{E4579414-B8B1-0C4D-8637-843F5613B3EE}" type="pres">
      <dgm:prSet presAssocID="{395215F9-DD6B-E64F-A1FB-F973C025CD73}" presName="sibTrans" presStyleLbl="node1" presStyleIdx="2" presStyleCnt="3"/>
      <dgm:spPr/>
    </dgm:pt>
  </dgm:ptLst>
  <dgm:cxnLst>
    <dgm:cxn modelId="{77EDCC21-77F9-B840-B18C-8E580B2302CC}" srcId="{DC7E2C8C-F607-BC44-BD9C-043362613237}" destId="{21CE6AB3-C6D6-9248-8607-DE9A778ADCF1}" srcOrd="2" destOrd="0" parTransId="{7F0F0BB2-2B5D-264E-B2AC-292C5730B6CD}" sibTransId="{395215F9-DD6B-E64F-A1FB-F973C025CD73}"/>
    <dgm:cxn modelId="{62755D3D-010B-234B-9609-7DBE976C77A5}" srcId="{DC7E2C8C-F607-BC44-BD9C-043362613237}" destId="{85E567ED-371E-E546-8AA0-D851D664E240}" srcOrd="0" destOrd="0" parTransId="{84D846F0-1184-9940-A318-110D369167EB}" sibTransId="{56A6B8A7-4C33-6644-B758-E3FD415F77B6}"/>
    <dgm:cxn modelId="{630BBC7E-E3D2-C349-908D-BCFB5D7183D2}" type="presOf" srcId="{DC7E2C8C-F607-BC44-BD9C-043362613237}" destId="{8896B798-A885-6345-ABE5-04C1382866EC}" srcOrd="0" destOrd="0" presId="urn:microsoft.com/office/officeart/2005/8/layout/cycle1"/>
    <dgm:cxn modelId="{650FEB7F-4626-E947-BE11-C2BB7D5A1FEE}" type="presOf" srcId="{56A6B8A7-4C33-6644-B758-E3FD415F77B6}" destId="{AE8C92C8-E886-4C4E-84D5-56018FB8F9F1}" srcOrd="0" destOrd="0" presId="urn:microsoft.com/office/officeart/2005/8/layout/cycle1"/>
    <dgm:cxn modelId="{EC1B4C9B-B2DE-0C41-A50D-1A708E954A2C}" type="presOf" srcId="{736F36D1-70E0-8249-BDF4-6C453CE05C33}" destId="{E149758C-EDE1-EA42-86BF-4D562EBCD117}" srcOrd="0" destOrd="0" presId="urn:microsoft.com/office/officeart/2005/8/layout/cycle1"/>
    <dgm:cxn modelId="{22D1C4BC-F871-F645-8C60-E09EDFD92852}" type="presOf" srcId="{DBAA6C96-3BEB-354E-A392-B886F26476FA}" destId="{61D0C8E0-8211-2243-9E50-ED929F0A8704}" srcOrd="0" destOrd="0" presId="urn:microsoft.com/office/officeart/2005/8/layout/cycle1"/>
    <dgm:cxn modelId="{0DBF8FC1-3526-0C4E-9C27-88F165B48CCA}" type="presOf" srcId="{21CE6AB3-C6D6-9248-8607-DE9A778ADCF1}" destId="{A05FBEA9-A92F-D043-A3D1-5F2231B488D1}" srcOrd="0" destOrd="0" presId="urn:microsoft.com/office/officeart/2005/8/layout/cycle1"/>
    <dgm:cxn modelId="{F5BD9ED2-4832-104A-A47F-32FEBCD94AA9}" type="presOf" srcId="{85E567ED-371E-E546-8AA0-D851D664E240}" destId="{C5643FEC-3DF7-C244-9071-39DE80026961}" srcOrd="0" destOrd="0" presId="urn:microsoft.com/office/officeart/2005/8/layout/cycle1"/>
    <dgm:cxn modelId="{FD84F2EA-221F-D946-880F-AE8B64AC5888}" srcId="{DC7E2C8C-F607-BC44-BD9C-043362613237}" destId="{DBAA6C96-3BEB-354E-A392-B886F26476FA}" srcOrd="1" destOrd="0" parTransId="{83C3CE93-34D9-9A44-BD9C-9155D99EE42C}" sibTransId="{736F36D1-70E0-8249-BDF4-6C453CE05C33}"/>
    <dgm:cxn modelId="{BF64DBFC-8EDB-3249-8872-5653E43291E3}" type="presOf" srcId="{395215F9-DD6B-E64F-A1FB-F973C025CD73}" destId="{E4579414-B8B1-0C4D-8637-843F5613B3EE}" srcOrd="0" destOrd="0" presId="urn:microsoft.com/office/officeart/2005/8/layout/cycle1"/>
    <dgm:cxn modelId="{E4A43ADE-E3B2-684F-B10E-778CA2E75B85}" type="presParOf" srcId="{8896B798-A885-6345-ABE5-04C1382866EC}" destId="{EB8E413F-C041-5D40-8C08-C06103D3C9AD}" srcOrd="0" destOrd="0" presId="urn:microsoft.com/office/officeart/2005/8/layout/cycle1"/>
    <dgm:cxn modelId="{AD939E14-2FE6-BB4E-B185-22B40935A10D}" type="presParOf" srcId="{8896B798-A885-6345-ABE5-04C1382866EC}" destId="{C5643FEC-3DF7-C244-9071-39DE80026961}" srcOrd="1" destOrd="0" presId="urn:microsoft.com/office/officeart/2005/8/layout/cycle1"/>
    <dgm:cxn modelId="{B483759D-03B7-E640-A6DD-33BE9E0B3ECC}" type="presParOf" srcId="{8896B798-A885-6345-ABE5-04C1382866EC}" destId="{AE8C92C8-E886-4C4E-84D5-56018FB8F9F1}" srcOrd="2" destOrd="0" presId="urn:microsoft.com/office/officeart/2005/8/layout/cycle1"/>
    <dgm:cxn modelId="{E51103A8-0EB8-4142-832D-08291CE23A94}" type="presParOf" srcId="{8896B798-A885-6345-ABE5-04C1382866EC}" destId="{4EDA688D-B3F6-C140-8CA9-CC6EA27F26E1}" srcOrd="3" destOrd="0" presId="urn:microsoft.com/office/officeart/2005/8/layout/cycle1"/>
    <dgm:cxn modelId="{6008D781-8687-2C40-B70E-CB562A17AC63}" type="presParOf" srcId="{8896B798-A885-6345-ABE5-04C1382866EC}" destId="{61D0C8E0-8211-2243-9E50-ED929F0A8704}" srcOrd="4" destOrd="0" presId="urn:microsoft.com/office/officeart/2005/8/layout/cycle1"/>
    <dgm:cxn modelId="{A1F1399F-22E8-4543-AAC4-230A436CD7B2}" type="presParOf" srcId="{8896B798-A885-6345-ABE5-04C1382866EC}" destId="{E149758C-EDE1-EA42-86BF-4D562EBCD117}" srcOrd="5" destOrd="0" presId="urn:microsoft.com/office/officeart/2005/8/layout/cycle1"/>
    <dgm:cxn modelId="{4C1FC873-2B84-E444-AFD0-B2A1CD8FD200}" type="presParOf" srcId="{8896B798-A885-6345-ABE5-04C1382866EC}" destId="{049624E3-193E-B44D-A12F-6B1C4B2973EA}" srcOrd="6" destOrd="0" presId="urn:microsoft.com/office/officeart/2005/8/layout/cycle1"/>
    <dgm:cxn modelId="{9D2DFF49-549F-2343-84DC-0D032E70EC5D}" type="presParOf" srcId="{8896B798-A885-6345-ABE5-04C1382866EC}" destId="{A05FBEA9-A92F-D043-A3D1-5F2231B488D1}" srcOrd="7" destOrd="0" presId="urn:microsoft.com/office/officeart/2005/8/layout/cycle1"/>
    <dgm:cxn modelId="{BD7B5291-8F73-E242-A1E9-2C04C699551B}" type="presParOf" srcId="{8896B798-A885-6345-ABE5-04C1382866EC}" destId="{E4579414-B8B1-0C4D-8637-843F5613B3EE}" srcOrd="8"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643FEC-3DF7-C244-9071-39DE80026961}">
      <dsp:nvSpPr>
        <dsp:cNvPr id="0" name=""/>
        <dsp:cNvSpPr/>
      </dsp:nvSpPr>
      <dsp:spPr>
        <a:xfrm>
          <a:off x="3068432" y="228818"/>
          <a:ext cx="1418544" cy="11644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Approaches</a:t>
          </a:r>
        </a:p>
      </dsp:txBody>
      <dsp:txXfrm>
        <a:off x="3068432" y="228818"/>
        <a:ext cx="1418544" cy="1164450"/>
      </dsp:txXfrm>
    </dsp:sp>
    <dsp:sp modelId="{AE8C92C8-E886-4C4E-84D5-56018FB8F9F1}">
      <dsp:nvSpPr>
        <dsp:cNvPr id="0" name=""/>
        <dsp:cNvSpPr/>
      </dsp:nvSpPr>
      <dsp:spPr>
        <a:xfrm>
          <a:off x="1423704" y="214"/>
          <a:ext cx="2751338" cy="2751338"/>
        </a:xfrm>
        <a:prstGeom prst="circularArrow">
          <a:avLst>
            <a:gd name="adj1" fmla="val 8253"/>
            <a:gd name="adj2" fmla="val 576520"/>
            <a:gd name="adj3" fmla="val 2962011"/>
            <a:gd name="adj4" fmla="val 52958"/>
            <a:gd name="adj5" fmla="val 9629"/>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1D0C8E0-8211-2243-9E50-ED929F0A8704}">
      <dsp:nvSpPr>
        <dsp:cNvPr id="0" name=""/>
        <dsp:cNvSpPr/>
      </dsp:nvSpPr>
      <dsp:spPr>
        <a:xfrm>
          <a:off x="2217148" y="1923337"/>
          <a:ext cx="1164450" cy="11644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Evaluation </a:t>
          </a:r>
        </a:p>
      </dsp:txBody>
      <dsp:txXfrm>
        <a:off x="2217148" y="1923337"/>
        <a:ext cx="1164450" cy="1164450"/>
      </dsp:txXfrm>
    </dsp:sp>
    <dsp:sp modelId="{E149758C-EDE1-EA42-86BF-4D562EBCD117}">
      <dsp:nvSpPr>
        <dsp:cNvPr id="0" name=""/>
        <dsp:cNvSpPr/>
      </dsp:nvSpPr>
      <dsp:spPr>
        <a:xfrm>
          <a:off x="1423704" y="214"/>
          <a:ext cx="2751338" cy="2751338"/>
        </a:xfrm>
        <a:prstGeom prst="circularArrow">
          <a:avLst>
            <a:gd name="adj1" fmla="val 8253"/>
            <a:gd name="adj2" fmla="val 576520"/>
            <a:gd name="adj3" fmla="val 10170522"/>
            <a:gd name="adj4" fmla="val 7261469"/>
            <a:gd name="adj5" fmla="val 9629"/>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05FBEA9-A92F-D043-A3D1-5F2231B488D1}">
      <dsp:nvSpPr>
        <dsp:cNvPr id="0" name=""/>
        <dsp:cNvSpPr/>
      </dsp:nvSpPr>
      <dsp:spPr>
        <a:xfrm>
          <a:off x="1238817" y="228818"/>
          <a:ext cx="1164450" cy="11644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Purpose</a:t>
          </a:r>
          <a:r>
            <a:rPr lang="en-GB" sz="2100" kern="1200">
              <a:solidFill>
                <a:sysClr val="windowText" lastClr="000000">
                  <a:hueOff val="0"/>
                  <a:satOff val="0"/>
                  <a:lumOff val="0"/>
                  <a:alphaOff val="0"/>
                </a:sysClr>
              </a:solidFill>
              <a:latin typeface="Calibri" panose="020F0502020204030204"/>
              <a:ea typeface="+mn-ea"/>
              <a:cs typeface="+mn-cs"/>
            </a:rPr>
            <a:t> </a:t>
          </a:r>
        </a:p>
      </dsp:txBody>
      <dsp:txXfrm>
        <a:off x="1238817" y="228818"/>
        <a:ext cx="1164450" cy="1164450"/>
      </dsp:txXfrm>
    </dsp:sp>
    <dsp:sp modelId="{E4579414-B8B1-0C4D-8637-843F5613B3EE}">
      <dsp:nvSpPr>
        <dsp:cNvPr id="0" name=""/>
        <dsp:cNvSpPr/>
      </dsp:nvSpPr>
      <dsp:spPr>
        <a:xfrm>
          <a:off x="1423704" y="214"/>
          <a:ext cx="2751338" cy="2751338"/>
        </a:xfrm>
        <a:prstGeom prst="circularArrow">
          <a:avLst>
            <a:gd name="adj1" fmla="val 8253"/>
            <a:gd name="adj2" fmla="val 576520"/>
            <a:gd name="adj3" fmla="val 16854998"/>
            <a:gd name="adj4" fmla="val 14968482"/>
            <a:gd name="adj5" fmla="val 9629"/>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BF7F2-A1F7-402E-AD5D-7B89065B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2790</Words>
  <Characters>12836</Characters>
  <Application>Microsoft Office Word</Application>
  <DocSecurity>0</DocSecurity>
  <Lines>213</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Plant</dc:creator>
  <cp:keywords/>
  <dc:description/>
  <cp:lastModifiedBy>MARK RAVENHALL</cp:lastModifiedBy>
  <cp:revision>4</cp:revision>
  <cp:lastPrinted>2020-11-05T17:25:00Z</cp:lastPrinted>
  <dcterms:created xsi:type="dcterms:W3CDTF">2020-11-09T14:49:00Z</dcterms:created>
  <dcterms:modified xsi:type="dcterms:W3CDTF">2020-11-11T14:24:00Z</dcterms:modified>
</cp:coreProperties>
</file>